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eae1f0d-a2a8-4818-bb3f-fa10dd2f614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eae1f0d-a2a8-4818-bb3f-fa10dd2f614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eae1f0d-a2a8-4818-bb3f-fa10dd2f614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eae1f0d-a2a8-4818-bb3f-fa10dd2f614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eae1f0d-a2a8-4818-bb3f-fa10dd2f614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eae1f0d-a2a8-4818-bb3f-fa10dd2f614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eae1f0d-a2a8-4818-bb3f-fa10dd2f614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eae1f0d-a2a8-4818-bb3f-fa10dd2f614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eae1f0d-a2a8-4818-bb3f-fa10dd2f614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eae1f0d-a2a8-4818-bb3f-fa10dd2f614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eae1f0d-a2a8-4818-bb3f-fa10dd2f614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e6ec04166924409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und in der Maschine (z. B. Eichung, Wartungs- und Instandhaltungsarbeiten und Störungsbeseitigung) darf die Anlage nur im Tippbetrieb betrieben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Vorschubbewegungen) zum Stillstand gekommen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Vermessung</Arbeitsblatt_MAG>
  <Arbeitsblatt_Name>Vermessung</Arbeitsblatt_Name>
</ArbeitsblattContext>
</file>

<file path=customXML/itemProps7.xml><?xml version="1.0" encoding="utf-8"?>
<ds:datastoreItem xmlns:ds="http://schemas.openxmlformats.org/officeDocument/2006/customXml" ds:itemID="{2eae1f0d-a2a8-4818-bb3f-fa10dd2f614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