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62e42a63-e7f5-49ac-9f4c-bbd9cd2c0acf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62e42a63-e7f5-49ac-9f4c-bbd9cd2c0acf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62e42a63-e7f5-49ac-9f4c-bbd9cd2c0acf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62e42a63-e7f5-49ac-9f4c-bbd9cd2c0acf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62e42a63-e7f5-49ac-9f4c-bbd9cd2c0acf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62e42a63-e7f5-49ac-9f4c-bbd9cd2c0acf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62e42a63-e7f5-49ac-9f4c-bbd9cd2c0acf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2e42a63-e7f5-49ac-9f4c-bbd9cd2c0acf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2e42a63-e7f5-49ac-9f4c-bbd9cd2c0acf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2e42a63-e7f5-49ac-9f4c-bbd9cd2c0acf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2e42a63-e7f5-49ac-9f4c-bbd9cd2c0acf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ce145f87d3db4ccc" /></Relationships>
</file>

<file path=customXML/item7.xml><?xml version="1.0" encoding="utf-8"?>
<!--Generiert am 13.12.2023 23:25:0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Gefahrbereich mit Umzäunung mit elektrisch verriegelten Zugangstüren; gegebenenfalls in Verbindung mit Sicherheitslichtschranken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Schaltmatten, um beim Betreten des Gefahrbereiches die Säge abzuschalten bzw. zwangsläufig gesteuert abtauchen zu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Schutzgitter als feststehende trennende Schutzeinrichtung zur Sicherung des Schneidbereiches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Zweihandschaltung zur Betätigung der Säge als distanzierende Schutzeinrichtung für die Hände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Umreifung (Paketierung)</Arbeitsblatt_MAG>
  <Arbeitsblatt_Name>Umreifung (Paketierung)</Arbeitsblatt_Name>
</ArbeitsblattContext>
</file>

<file path=customXML/itemProps7.xml><?xml version="1.0" encoding="utf-8"?>
<ds:datastoreItem xmlns:ds="http://schemas.openxmlformats.org/officeDocument/2006/customXml" ds:itemID="{62e42a63-e7f5-49ac-9f4c-bbd9cd2c0acf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