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4c1c547a-5ab2-4197-955a-8ff2974cc4f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4c1c547a-5ab2-4197-955a-8ff2974cc4f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4c1c547a-5ab2-4197-955a-8ff2974cc4f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4c1c547a-5ab2-4197-955a-8ff2974cc4f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4c1c547a-5ab2-4197-955a-8ff2974cc4f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4c1c547a-5ab2-4197-955a-8ff2974cc4f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4c1c547a-5ab2-4197-955a-8ff2974cc4f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c1c547a-5ab2-4197-955a-8ff2974cc4f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c1c547a-5ab2-4197-955a-8ff2974cc4f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c1c547a-5ab2-4197-955a-8ff2974cc4f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c1c547a-5ab2-4197-955a-8ff2974cc4f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2047985869e94464" /></Relationships>
</file>

<file path=customXML/item7.xml><?xml version="1.0" encoding="utf-8"?>
<!--Generiert am 13.12.2023 23:24:5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Betriebsanleitungen des Herstellers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Elektrische Einrichtungen explosionsgeschützt ausführen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Zündquellen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Feuerlöscher mit ausreichenden Löscheinheiten (LE)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ausreichende Lüftung oder Absaugung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Benutzung von Atemschutzmasken beim Betreten des Trockenraums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Betreten der Kabine während des Trocknungsvorgangs vermeiden oder Filtermaske A (Filterfarbe braun) bzw. fremdbelüftete Atemschutzmaske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 (gesundheitsschädigender Dämpfe)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Explosionsgefährdete Bereiche mithilfe des Explosionsschutzdokuments ermitteln und bewerten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Ableitfähige 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Falls vorhanden die technische Lüftung mindestens jährlich von einer befähigten Person auf sicheren Betrieb prüfen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Prüfen, ob Schalter, Leuchten und elektrische Geräte mindestens die Schutzart IP54 aufweisen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Explosionsgefährdeten Bereich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Explosionsschutzmaßnahmen durchführen und im Explosionsschutzdokument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Abkühlzeit des Infrarot-Trockners (nach Betriebsanleitung) einhalten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Kraftbetriebene Trocknungsgeräte müssen so gestaltet und konstruiert sein, dass Quetsch-, Scher- und Anstoßstellen im automatischen Verfahrbetrieb vermieden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Blendwirkung des Infrarot-Trockners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Optische Strahlung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Trockenraum</Arbeitsblatt_MAG>
  <Arbeitsblatt_Name>Trockenraum</Arbeitsblatt_Name>
</ArbeitsblattContext>
</file>

<file path=customXML/itemProps7.xml><?xml version="1.0" encoding="utf-8"?>
<ds:datastoreItem xmlns:ds="http://schemas.openxmlformats.org/officeDocument/2006/customXml" ds:itemID="{4c1c547a-5ab2-4197-955a-8ff2974cc4f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