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412e137-f5f6-4aca-b3ed-c676b2de5c4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412e137-f5f6-4aca-b3ed-c676b2de5c4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412e137-f5f6-4aca-b3ed-c676b2de5c4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412e137-f5f6-4aca-b3ed-c676b2de5c4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412e137-f5f6-4aca-b3ed-c676b2de5c4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412e137-f5f6-4aca-b3ed-c676b2de5c4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412e137-f5f6-4aca-b3ed-c676b2de5c4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412e137-f5f6-4aca-b3ed-c676b2de5c4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412e137-f5f6-4aca-b3ed-c676b2de5c4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412e137-f5f6-4aca-b3ed-c676b2de5c4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412e137-f5f6-4aca-b3ed-c676b2de5c4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39066d8467d458b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Einsatz von Teleskopstaplern mit Dieselantrieb in geschlossenen Räumen nur mit Rußfilter oder Einsatz von gasbetriebenen Teleskopstaplern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Bestimmungsgemäße Verwendung des Teleskopstaplers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Regelungen für den Baustellenverkehr (Geschwindigkeit, Verkehrswege etc.)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vom Hersteller zugelassene Anbaugeräte verwenden, müssen kompatibel mit dem Grundgerät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Standsicherheit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 und Lastschwerpunkt des Teleskopstaplers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G 25 (Fahr-, Steuer- und Überwachungstätigkeiten)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Teleskopstapler</Arbeitsblatt_MAG>
  <Arbeitsblatt_Name>Teleskopstapler</Arbeitsblatt_Name>
</ArbeitsblattContext>
</file>

<file path=customXML/itemProps7.xml><?xml version="1.0" encoding="utf-8"?>
<ds:datastoreItem xmlns:ds="http://schemas.openxmlformats.org/officeDocument/2006/customXml" ds:itemID="{a412e137-f5f6-4aca-b3ed-c676b2de5c4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