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c853aaf-bed3-4f90-96c0-cb3055ba3cb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c853aaf-bed3-4f90-96c0-cb3055ba3cb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c853aaf-bed3-4f90-96c0-cb3055ba3cb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c853aaf-bed3-4f90-96c0-cb3055ba3cb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c853aaf-bed3-4f90-96c0-cb3055ba3cb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c853aaf-bed3-4f90-96c0-cb3055ba3cb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c853aaf-bed3-4f90-96c0-cb3055ba3cb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c853aaf-bed3-4f90-96c0-cb3055ba3cb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c853aaf-bed3-4f90-96c0-cb3055ba3cb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c853aaf-bed3-4f90-96c0-cb3055ba3cb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c853aaf-bed3-4f90-96c0-cb3055ba3cb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4b1524ac358495d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Absaugung oder Schleifmaschinen mit integrierter Absaugung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Feinstaubmaske oder Partikelfiltermaske P2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(styrolhaltige Spachtelmassen)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 Bereiche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Produkte mit hohem Flammpunkt (&gt;60°C) oder wasserbasierte Spachtel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Rauchen und Umgang mit offenem Feuer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Neuanschaffung schwingungsarme Geräte bevorzugen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Benutzungsdauer der Geräte begrenzen (ab täglicher Exposition von 2,5 m/s² Angebotsuntersuchung, ab 5 m/s² Pflichtuntersuchung nach Grundsatz G46)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Abkühlzeit des Infrarot-Trockners (nach Betriebsanleitung)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Blendwirkung des Infrarot- bzw. UV-Trockners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Spachteln/Schleifen</Arbeitsblatt_MAG>
  <Arbeitsblatt_Name>Spachteln/Schleifen</Arbeitsblatt_Name>
</ArbeitsblattContext>
</file>

<file path=customXML/itemProps7.xml><?xml version="1.0" encoding="utf-8"?>
<ds:datastoreItem xmlns:ds="http://schemas.openxmlformats.org/officeDocument/2006/customXml" ds:itemID="{7c853aaf-bed3-4f90-96c0-cb3055ba3cb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