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ddf7dbe-dd43-4f91-b4ef-d1784d0dd74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ddf7dbe-dd43-4f91-b4ef-d1784d0dd74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ddf7dbe-dd43-4f91-b4ef-d1784d0dd74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ddf7dbe-dd43-4f91-b4ef-d1784d0dd74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ddf7dbe-dd43-4f91-b4ef-d1784d0dd74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ddf7dbe-dd43-4f91-b4ef-d1784d0dd74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ddf7dbe-dd43-4f91-b4ef-d1784d0dd74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ddf7dbe-dd43-4f91-b4ef-d1784d0dd74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ddf7dbe-dd43-4f91-b4ef-d1784d0dd74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ddf7dbe-dd43-4f91-b4ef-d1784d0dd74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ddf7dbe-dd43-4f91-b4ef-d1784d0dd74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04ff1ad49fb4017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geringerem Verletzungsrisikos (z. B. bei Sortierung von Latten- und Brettware) kann bei Einsatz von Rungenwagen auf der Entnahmeseite auf eine Umzäunung verzichtet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Betreten des Abwurfbereichs eines Sortierspeichers muss durch eine Umzäunung gesichert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Entleerung der Sortierboxen, z. B. Rungenwagen, Boxen mit Schwenkböden, Gurtboxen oder Hubboxen, und der Abtransport auf einem Querförderer (Entladeförderer) erfolgen im Tippbetrieb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mit einer Umzäunung mit elektrisch verriegelten Zugangstüren,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des Sortierspeichers (z. B. Kettenauflaufstellen, Quetsch- und Scherstellen) durch Verkleidungen, Füllstücke oder Auskleidungen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Sortierspeicher (ohne automatische Entleerung)</Arbeitsblatt_MAG>
  <Arbeitsblatt_Name>Sortierspeicher (ohne automatische Entleerung)</Arbeitsblatt_Name>
</ArbeitsblattContext>
</file>

<file path=customXML/itemProps7.xml><?xml version="1.0" encoding="utf-8"?>
<ds:datastoreItem xmlns:ds="http://schemas.openxmlformats.org/officeDocument/2006/customXml" ds:itemID="{cddf7dbe-dd43-4f91-b4ef-d1784d0dd74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