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fee18f8-d267-4908-b13c-6212dbf2814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fee18f8-d267-4908-b13c-6212dbf2814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fee18f8-d267-4908-b13c-6212dbf2814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fee18f8-d267-4908-b13c-6212dbf2814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fee18f8-d267-4908-b13c-6212dbf2814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fee18f8-d267-4908-b13c-6212dbf2814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fee18f8-d267-4908-b13c-6212dbf2814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fee18f8-d267-4908-b13c-6212dbf2814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fee18f8-d267-4908-b13c-6212dbf2814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fee18f8-d267-4908-b13c-6212dbf2814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fee18f8-d267-4908-b13c-6212dbf2814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949fd652d5a45ae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Sicherheitsabstand von mindestens 0,5 m zwischen Schwingsieb bei größter Ausschwingung und festen Teilen der Umgebung (z. B. rückseitige Hallenwand)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Schwingsieb</Arbeitsblatt_MAG>
  <Arbeitsblatt_Name>Schwingsieb</Arbeitsblatt_Name>
</ArbeitsblattContext>
</file>

<file path=customXML/itemProps7.xml><?xml version="1.0" encoding="utf-8"?>
<ds:datastoreItem xmlns:ds="http://schemas.openxmlformats.org/officeDocument/2006/customXml" ds:itemID="{bfee18f8-d267-4908-b13c-6212dbf2814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