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768f5a2-e098-465d-9b0f-83144aaa20b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768f5a2-e098-465d-9b0f-83144aaa20b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768f5a2-e098-465d-9b0f-83144aaa20b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768f5a2-e098-465d-9b0f-83144aaa20b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768f5a2-e098-465d-9b0f-83144aaa20b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768f5a2-e098-465d-9b0f-83144aaa20b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768f5a2-e098-465d-9b0f-83144aaa20b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768f5a2-e098-465d-9b0f-83144aaa20b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768f5a2-e098-465d-9b0f-83144aaa20b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768f5a2-e098-465d-9b0f-83144aaa20b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768f5a2-e098-465d-9b0f-83144aaa20b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f97ddf25fd24fee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Exzenterantriebe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Zwischen schwingender Vibrorinne und festen Einbauten (z. B. Trichterwänden) Sicherheitsabstand von mindestens 25 mm – bei maximaler Auslenkung der Vibrorinne –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Schwingförderrinne (Vibrorinne)</Arbeitsblatt_MAG>
  <Arbeitsblatt_Name>Schwingförderrinne (Vibrorinne)</Arbeitsblatt_Name>
</ArbeitsblattContext>
</file>

<file path=customXML/itemProps7.xml><?xml version="1.0" encoding="utf-8"?>
<ds:datastoreItem xmlns:ds="http://schemas.openxmlformats.org/officeDocument/2006/customXml" ds:itemID="{3768f5a2-e098-465d-9b0f-83144aaa20b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