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a68b70d1-60f0-4d0d-aafe-5e71adac9daf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a68b70d1-60f0-4d0d-aafe-5e71adac9daf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a68b70d1-60f0-4d0d-aafe-5e71adac9daf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a68b70d1-60f0-4d0d-aafe-5e71adac9daf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a68b70d1-60f0-4d0d-aafe-5e71adac9daf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a68b70d1-60f0-4d0d-aafe-5e71adac9daf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a68b70d1-60f0-4d0d-aafe-5e71adac9daf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68b70d1-60f0-4d0d-aafe-5e71adac9daf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68b70d1-60f0-4d0d-aafe-5e71adac9daf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a68b70d1-60f0-4d0d-aafe-5e71adac9daf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a68b70d1-60f0-4d0d-aafe-5e71adac9daf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00af0228ea5d4641" /></Relationships>
</file>

<file path=customXML/item7.xml><?xml version="1.0" encoding="utf-8"?>
<!--Generiert am 13.12.2023 23:25:04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Einzelgefahrstellen des Förderers z. B. durch Abdeckungen oder Füllstücke mit max. 5 mm Spaltöffnung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NOT-AUS-Schalter nach EN 619 mindestens alle 20 m anbringen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Durch Auskleidung des Rollengangs Quetsch- und Scherstellen durch zwangsgeführte Werkstücke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Rollengang (angetrieben)</Arbeitsblatt_MAG>
  <Arbeitsblatt_Name>Rollengang (angetrieben)</Arbeitsblatt_Name>
</ArbeitsblattContext>
</file>

<file path=customXML/itemProps7.xml><?xml version="1.0" encoding="utf-8"?>
<ds:datastoreItem xmlns:ds="http://schemas.openxmlformats.org/officeDocument/2006/customXml" ds:itemID="{a68b70d1-60f0-4d0d-aafe-5e71adac9daf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