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051eac1-feb4-4c64-95d7-262a564c009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051eac1-feb4-4c64-95d7-262a564c009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051eac1-feb4-4c64-95d7-262a564c009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051eac1-feb4-4c64-95d7-262a564c009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051eac1-feb4-4c64-95d7-262a564c009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051eac1-feb4-4c64-95d7-262a564c009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051eac1-feb4-4c64-95d7-262a564c009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051eac1-feb4-4c64-95d7-262a564c009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051eac1-feb4-4c64-95d7-262a564c009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051eac1-feb4-4c64-95d7-262a564c009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051eac1-feb4-4c64-95d7-262a564c009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8f15fe4c2a04212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Betriebsanleitung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Mitarbeiter unterweisen über verkehrsgerechtes Verhalten und umsichtiges Fahren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Alkohol vor und während der Fahrt ist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Probefahrt der Kunden ohne Verkäufer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Unfall bzw. Pannenstelle absichern (Warndreieck und Warnleuchte)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Verkehrs-/Fahrsicherheitstraining regelmäßig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Verletzungen durch Unfälle im Straßenverkehr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Probefahrt</Arbeitsblatt_MAG>
  <Arbeitsblatt_Name>Probefahrt</Arbeitsblatt_Name>
</ArbeitsblattContext>
</file>

<file path=customXML/itemProps7.xml><?xml version="1.0" encoding="utf-8"?>
<ds:datastoreItem xmlns:ds="http://schemas.openxmlformats.org/officeDocument/2006/customXml" ds:itemID="{e051eac1-feb4-4c64-95d7-262a564c009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