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c6187d1d-49f0-4cee-be99-ff325a5ea684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c6187d1d-49f0-4cee-be99-ff325a5ea684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c6187d1d-49f0-4cee-be99-ff325a5ea684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c6187d1d-49f0-4cee-be99-ff325a5ea684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c6187d1d-49f0-4cee-be99-ff325a5ea684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c6187d1d-49f0-4cee-be99-ff325a5ea684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c6187d1d-49f0-4cee-be99-ff325a5ea684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6187d1d-49f0-4cee-be99-ff325a5ea684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6187d1d-49f0-4cee-be99-ff325a5ea684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6187d1d-49f0-4cee-be99-ff325a5ea684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6187d1d-49f0-4cee-be99-ff325a5ea684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ee5940e573514fec" /></Relationships>
</file>

<file path=customXML/item7.xml><?xml version="1.0" encoding="utf-8"?>
<!--Generiert am 13.12.2023 23:25:0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der Auswahl von Beschäftigten im Rahmen der Arbeitnehmerüberlassung auf die konkreten Einsatzbedingungen und –anforderungen hinweisen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Mitarbeiter und Mitarbeiterinnen mit dem innerbetrieblichen Transport beauftragen und einweisen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Prüffristen festlegen (max. 1 Jahr), z. B. für die Flurförderzeuge, deren Anbauteile, Krane, Winden oder für Fahrzeuge, die Prüfungen organisieren und regelmäßig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Sicherheits- und Verhaltensregeln für Besucherinnen, Besucher und Fremdfirmen erlassen, publizieren und unterweisen und die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vorhandener Gefahrbereichssicherung wird ein unbefugtes, irrtümliches oder unerwartetes Ingangsetzen der Anlage wird durch das Einhängen von persönlichen Schlössern zur Blockierung des Schließmechanismus beim Eintreten in den Gefahrbereich vermieden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Sicherheitsschuhe zur Verfügung stellen und die Verwendung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Externen Verkehr, wie LKW zur Anlieferung von Rundholz oder Abholung von Schnittholz oder Restholz, regeln und möglichst von den internen Transportflächen und -wegen fernhalten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Personen, die sich auf dem Gelände bewegen, das Tragen von Warnwesten vorschreiben und durchsetzen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Transport und mobile Arbeitsmittel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Organisation Sägewerke</Arbeitsblatt_MAG>
  <Arbeitsblatt_Name>Organisation Sägewerke</Arbeitsblatt_Name>
</ArbeitsblattContext>
</file>

<file path=customXML/itemProps7.xml><?xml version="1.0" encoding="utf-8"?>
<ds:datastoreItem xmlns:ds="http://schemas.openxmlformats.org/officeDocument/2006/customXml" ds:itemID="{c6187d1d-49f0-4cee-be99-ff325a5ea684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