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2f958d88-f78b-4990-825f-c6ffd5da4b44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2f958d88-f78b-4990-825f-c6ffd5da4b44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2f958d88-f78b-4990-825f-c6ffd5da4b44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2f958d88-f78b-4990-825f-c6ffd5da4b44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2f958d88-f78b-4990-825f-c6ffd5da4b44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2f958d88-f78b-4990-825f-c6ffd5da4b44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2f958d88-f78b-4990-825f-c6ffd5da4b44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f958d88-f78b-4990-825f-c6ffd5da4b44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f958d88-f78b-4990-825f-c6ffd5da4b44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f958d88-f78b-4990-825f-c6ffd5da4b44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f958d88-f78b-4990-825f-c6ffd5da4b44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f700cd1f07e40ac" /></Relationships>
</file>

<file path=customXML/item7.xml><?xml version="1.0" encoding="utf-8"?>
<!--Generiert am 13.12.2023 23:25:0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Arbeitserlaubnisverfahren (Freigaben, Zutrittsberechtigung usw.) abstimmen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Information über spezielle Regelungen und Gegebenheiten einholen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Verantwortliche Person/Ansprechpartner vor Ort (Besitzer, Mieter, Polizei) erfragen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Unbekannte Gefährdungen auf fremden Geländen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Bohr-, Schleif- und Trennarbeiten Augenschutz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Bohr-, Schleif- und Trennarbeiten Gehörschutz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Vorklärung der Verhältnisse mit Wohnungsinhaber oder Polizei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Erforderliche Maßnahmen und Arbeitsablauf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Gewalt am Arbeitsplatz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Öffnung von Wohnungen/Gebäuden</Arbeitsblatt_MAG>
  <Arbeitsblatt_Name>Öffnung von Wohnungen/Gebäuden</Arbeitsblatt_Name>
</ArbeitsblattContext>
</file>

<file path=customXML/itemProps7.xml><?xml version="1.0" encoding="utf-8"?>
<ds:datastoreItem xmlns:ds="http://schemas.openxmlformats.org/officeDocument/2006/customXml" ds:itemID="{2f958d88-f78b-4990-825f-c6ffd5da4b44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