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fddaa4fb-19e5-497b-a838-05d0f0735cac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fddaa4fb-19e5-497b-a838-05d0f0735cac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fddaa4fb-19e5-497b-a838-05d0f0735cac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fddaa4fb-19e5-497b-a838-05d0f0735cac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fddaa4fb-19e5-497b-a838-05d0f0735cac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fddaa4fb-19e5-497b-a838-05d0f0735cac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fddaa4fb-19e5-497b-a838-05d0f0735cac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fddaa4fb-19e5-497b-a838-05d0f0735cac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fddaa4fb-19e5-497b-a838-05d0f0735cac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fddaa4fb-19e5-497b-a838-05d0f0735cac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fddaa4fb-19e5-497b-a838-05d0f0735cac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b585311d82a64543" /></Relationships>
</file>

<file path=customXML/item7.xml><?xml version="1.0" encoding="utf-8"?>
<!--Generiert am 13.12.2023 23:25:00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Werkstücke fest einspannen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Maschine durch Umzäunungen in Kombination mit mehrstrahliger Sicherheitslichtschranke an der Aufgabeseite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Durch z. B. Zweihandschaltung, ortsbindende Befehlseinrichtung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Bedienung nur durch geeignete Beschäftigte, die mindestens 18 Jahre alt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Kunststoffschweißmaschine</Arbeitsblatt_MAG>
  <Arbeitsblatt_Name>Kunststoffschweißmaschine</Arbeitsblatt_Name>
</ArbeitsblattContext>
</file>

<file path=customXML/itemProps7.xml><?xml version="1.0" encoding="utf-8"?>
<ds:datastoreItem xmlns:ds="http://schemas.openxmlformats.org/officeDocument/2006/customXml" ds:itemID="{fddaa4fb-19e5-497b-a838-05d0f0735cac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