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38ee05b4-ee36-4734-b765-c9ff7c9bb0ef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38ee05b4-ee36-4734-b765-c9ff7c9bb0ef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38ee05b4-ee36-4734-b765-c9ff7c9bb0ef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38ee05b4-ee36-4734-b765-c9ff7c9bb0ef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38ee05b4-ee36-4734-b765-c9ff7c9bb0ef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38ee05b4-ee36-4734-b765-c9ff7c9bb0ef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38ee05b4-ee36-4734-b765-c9ff7c9bb0ef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38ee05b4-ee36-4734-b765-c9ff7c9bb0ef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38ee05b4-ee36-4734-b765-c9ff7c9bb0ef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38ee05b4-ee36-4734-b765-c9ff7c9bb0ef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38ee05b4-ee36-4734-b765-c9ff7c9bb0ef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89253f9bf09b4595" /></Relationships>
</file>

<file path=customXML/item7.xml><?xml version="1.0" encoding="utf-8"?>
<!--Generiert am 13.12.2023 23:24:52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Mindestens 0,5 m einhalten wegen Quetschgefahr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Kontrolliert bewegte ungeschützte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Lasthakensicherung regelmäßig auf Funktionsfähigkeit überprüfen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Sicher die Lasten anschlagen, nur ordnungsgemäße Anschlagmittel benutzen, regelmäßig prüfen, Prüfnachweis führen (z. B. mit Prüfanhänger)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Tragfähigkeit des Kranes beachten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Tragfähigkeitsangabe sichtbar anbringen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Wenn Lastentransport schlecht einsehbar ist, zusätzlicher Einweiser erforderlich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Transport und mobile Arbeitsmittel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Bedienung nur durch geeignete Beschäftigte, die mindestens 18 Jahre alt, ausgebildet nach DGUV Grundsatz und mündlich beauftragt sind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Beschäftigte regelmäßig unterweisen, mindestens einmal jährlich, Unterweisung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Betriebsanweisung mit Hilfe der Betriebsanleitung des Herstellers 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Festgestellte Mängel beseitigen (lassen)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Regelmäßige Prüfung des Arbeitsmittels durch eine zur Prüfung befähigte Person durchführen; Prüfintervalle, Prüfumfänge, Qualifikation des Prüfpersonals festlegen; Prüfungen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Kran/Hebezeuge</Arbeitsblatt_MAG>
  <Arbeitsblatt_Name>Kran/Hebezeuge</Arbeitsblatt_Name>
</ArbeitsblattContext>
</file>

<file path=customXML/itemProps7.xml><?xml version="1.0" encoding="utf-8"?>
<ds:datastoreItem xmlns:ds="http://schemas.openxmlformats.org/officeDocument/2006/customXml" ds:itemID="{38ee05b4-ee36-4734-b765-c9ff7c9bb0ef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