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cf2624ab-6bce-465f-a3e1-8e1f34dfe8d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cf2624ab-6bce-465f-a3e1-8e1f34dfe8d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cf2624ab-6bce-465f-a3e1-8e1f34dfe8d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cf2624ab-6bce-465f-a3e1-8e1f34dfe8d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cf2624ab-6bce-465f-a3e1-8e1f34dfe8d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cf2624ab-6bce-465f-a3e1-8e1f34dfe8d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cf2624ab-6bce-465f-a3e1-8e1f34dfe8d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f2624ab-6bce-465f-a3e1-8e1f34dfe8d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f2624ab-6bce-465f-a3e1-8e1f34dfe8d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f2624ab-6bce-465f-a3e1-8e1f34dfe8d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f2624ab-6bce-465f-a3e1-8e1f34dfe8d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57abae05c054d23" /></Relationships>
</file>

<file path=customXML/item7.xml><?xml version="1.0" encoding="utf-8"?>
<!--Generiert am 13.12.2023 23:24:5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Das Frässchwert geht nach Beendigung des Fräsvorganges selbständig in die Ausgangsstellung zurück und ist in Ausgangsstellung verriegelt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Das Sägeaggregat ist in Ausgangsstellung verriegelt (z. B. Rastklinke)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Verwendung von Schutzstangen und frontseitiges Schutzschild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und unterwiesene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 durchführen,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Kettenfräsmaschine</Arbeitsblatt_MAG>
  <Arbeitsblatt_Name>Kettenfräsmaschine</Arbeitsblatt_Name>
</ArbeitsblattContext>
</file>

<file path=customXML/itemProps7.xml><?xml version="1.0" encoding="utf-8"?>
<ds:datastoreItem xmlns:ds="http://schemas.openxmlformats.org/officeDocument/2006/customXml" ds:itemID="{cf2624ab-6bce-465f-a3e1-8e1f34dfe8d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