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dfcec31-45c9-458b-af01-c36bb6199ef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dfcec31-45c9-458b-af01-c36bb6199ef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dfcec31-45c9-458b-af01-c36bb6199ef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dfcec31-45c9-458b-af01-c36bb6199ef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dfcec31-45c9-458b-af01-c36bb6199ef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dfcec31-45c9-458b-af01-c36bb6199ef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dfcec31-45c9-458b-af01-c36bb6199ef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dfcec31-45c9-458b-af01-c36bb6199ef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dfcec31-45c9-458b-af01-c36bb6199ef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dfcec31-45c9-458b-af01-c36bb6199ef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dfcec31-45c9-458b-af01-c36bb6199ef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b77471636e2648f7" /></Relationships>
</file>

<file path=customXML/item7.xml><?xml version="1.0" encoding="utf-8"?>
<!--Generiert am 13.12.2023 23:25:0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Durchtrittsöffnung im Boden auf das für die Säge erforderliche Mindestmaß beschränken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manueller Betätigung: Nicht einsehbaren Verfahrbereich (z. B. Keller) durch eine Umzäunung mit elektrisch verriegelter Zugangstür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Automatikbetrieb: Beim Betreten des Gefahrbereichs muss die Säge ausgeschaltet sein bzw. darf das rotierende Sägeblatt nicht erreicht werden können (z. B. zwangsläufig gesteuerte abgetauchte Sägeblattstellung)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Kappsäge-/Trennsäge an der Blockbandsäge</Arbeitsblatt_MAG>
  <Arbeitsblatt_Name>Kappsäge-/Trennsäge an der Blockbandsäge</Arbeitsblatt_Name>
</ArbeitsblattContext>
</file>

<file path=customXML/itemProps7.xml><?xml version="1.0" encoding="utf-8"?>
<ds:datastoreItem xmlns:ds="http://schemas.openxmlformats.org/officeDocument/2006/customXml" ds:itemID="{2dfcec31-45c9-458b-af01-c36bb6199ef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