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475e6c4-98c1-434b-b570-0bc30cb35f6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475e6c4-98c1-434b-b570-0bc30cb35f6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475e6c4-98c1-434b-b570-0bc30cb35f6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475e6c4-98c1-434b-b570-0bc30cb35f6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475e6c4-98c1-434b-b570-0bc30cb35f6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475e6c4-98c1-434b-b570-0bc30cb35f6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475e6c4-98c1-434b-b570-0bc30cb35f6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475e6c4-98c1-434b-b570-0bc30cb35f6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475e6c4-98c1-434b-b570-0bc30cb35f6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475e6c4-98c1-434b-b570-0bc30cb35f6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475e6c4-98c1-434b-b570-0bc30cb35f6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f1a38b4348546e1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die Reinigung geeignete Hilfsmittel bereitstellen (Handfeger, Handschuhe, Pinsel)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Druckluft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 vor Zugang spannungslos schalten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 vor Zugang drucklos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Freigabe von Bewegungen muss die Maschine mit Schutzeinrichtungen gesichert sein (Schutzzäune, Schutztüren, Lichtvorhänge)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Zugang mehrerer Personen weitere Zustimmschalter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an der Anlage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Gefahrbereich muss vom Ort der Quittierung einsehbar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Betriebsart T2 nur in Ausnahmefällen benutzen, z. B. beim Testen von Programmen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Keinesfalls dürfen Schutzeinrichtungen außer Kraft gesetzt werden oder Zaunfelder demontiert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Nutzung des vom Hersteller vorgesehenen Programmiergerätes mit Zustimmschalter in der Betriebsart T1 (reduzierte Geschwindigkeit)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Quittiertaster für Schutzeinrichtungen müssen außerhalb des Gefahrbereichs angeordnet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Vom Standpunkt der Freigabe muss Einblick auf die Gefahrenzonen gegeben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 zur Störungsbeseitigung nur durch die dafür vorgesehenen Schutzeinrichtungen (Schutztüren, Lichtvorhänge)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Teilemagazine in ergonomischen Höhen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Manuelle Arbeit mit geringen Körperkräften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Aufenthalt innerhalb der Anlage nur auf den dafür vorgesehenen Standplätzen (Betriebsanleitung des Herstellers)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Stolperfallen im Umfeld der Anlage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Industrieroboter</Arbeitsblatt_MAG>
  <Arbeitsblatt_Name>Industrieroboter</Arbeitsblatt_Name>
</ArbeitsblattContext>
</file>

<file path=customXML/itemProps7.xml><?xml version="1.0" encoding="utf-8"?>
<ds:datastoreItem xmlns:ds="http://schemas.openxmlformats.org/officeDocument/2006/customXml" ds:itemID="{3475e6c4-98c1-434b-b570-0bc30cb35f6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