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d90f77b2-a179-4f8f-8609-19a033225d36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d90f77b2-a179-4f8f-8609-19a033225d36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d90f77b2-a179-4f8f-8609-19a033225d36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d90f77b2-a179-4f8f-8609-19a033225d36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d90f77b2-a179-4f8f-8609-19a033225d36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d90f77b2-a179-4f8f-8609-19a033225d36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d90f77b2-a179-4f8f-8609-19a033225d36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90f77b2-a179-4f8f-8609-19a033225d36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90f77b2-a179-4f8f-8609-19a033225d36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90f77b2-a179-4f8f-8609-19a033225d36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90f77b2-a179-4f8f-8609-19a033225d36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1cb8e6f1bab40a7" /></Relationships>
</file>

<file path=customXML/item7.xml><?xml version="1.0" encoding="utf-8"?>
<!--Generiert am 13.12.2023 23:25:0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Begehbare Auskleidungen der Horizontaletagen im Bereich der Werkstückeinläufe in Höhen-Abständen von höchstens 2 m (in der Regel in jeder dritten bis vierten Etage)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Abstürzen des höhenverstellbaren Entladeförderers infolge Antriebskettenriss vermeiden durch regelmäßige Störungsbeseitigung und Instandhaltung der Antriebsketten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Abstürzen des höhenverstellbaren Entladeförderers infolge Schlaffseilbildung bei Verklemmung durch Bretter am Übergang Horizontaletage/Entladeförderer durch regelmäßige Störungsbeseitigung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Abstürzen des höhenverstellbaren Entladeförderers infolge Versagen der Motorbremse durch regelmäßige Störungsbeseitigung und Instandhaltung der Motorbremse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Abstürzen und Schrägziehen der Senkbodenboxen verhindern, z. B. durch Schlaffseilüberwachungseinrichtung und bei Hydraulikzylindern durch Schlauchbruchsicherungen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durch Umzäunung mit elektrisch verriegelten Zugangstüren; gegebenenfalls in Verbindung mit Sicherheitslichtschranken,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Horizontaletagen-Sortieranlage</Arbeitsblatt_MAG>
  <Arbeitsblatt_Name>Horizontaletagen-Sortieranlage</Arbeitsblatt_Name>
</ArbeitsblattContext>
</file>

<file path=customXML/itemProps7.xml><?xml version="1.0" encoding="utf-8"?>
<ds:datastoreItem xmlns:ds="http://schemas.openxmlformats.org/officeDocument/2006/customXml" ds:itemID="{d90f77b2-a179-4f8f-8609-19a033225d36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