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fe89bcc-47d2-423d-99e9-753dab98a39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fe89bcc-47d2-423d-99e9-753dab98a39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fe89bcc-47d2-423d-99e9-753dab98a39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fe89bcc-47d2-423d-99e9-753dab98a39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fe89bcc-47d2-423d-99e9-753dab98a39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fe89bcc-47d2-423d-99e9-753dab98a39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fe89bcc-47d2-423d-99e9-753dab98a39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fe89bcc-47d2-423d-99e9-753dab98a39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fe89bcc-47d2-423d-99e9-753dab98a39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fe89bcc-47d2-423d-99e9-753dab98a39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fe89bcc-47d2-423d-99e9-753dab98a39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6348edc1e8849bc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Anlagenführer oder Anlagenführerin anweisen, bei allen Fahrbewegungen des Gatterspannwagens sowie beim Betätigen des Stammeinlegers darauf zu achten, dass Beschäftigte nicht gefährdet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Übergabe zur Sicherung der Quetschstelle zwischen Gatterspannwagen und der Übergabe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automatischer Rundholzzuführung: Blockzug und Rundholz-Einwurf-Bereich stirnseitig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automatischen Gatterspannwagen Umwehrung (z. B. Geländer oder Schutzgitter) des Spannwagenfahrbereichs gegen unbeabsichtigten Zutritt mit Zutrittsöffnung im einsehbaren Bereich der Anlagenführung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Sicherheitsabstand von mindestens 500 mm zwischen Gatterspannwagen und festen Teilen der Umgebung (z. B. rückseitige Hallenwand); Ausnahme aus technologischen Gründen: geringerer Abstand zwischen Gatterspannwagen und Querübergabeförderer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Bodenunebenheiten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Gatterspannwagen</Arbeitsblatt_MAG>
  <Arbeitsblatt_Name>Gatterspannwagen</Arbeitsblatt_Name>
</ArbeitsblattContext>
</file>

<file path=customXML/itemProps7.xml><?xml version="1.0" encoding="utf-8"?>
<ds:datastoreItem xmlns:ds="http://schemas.openxmlformats.org/officeDocument/2006/customXml" ds:itemID="{dfe89bcc-47d2-423d-99e9-753dab98a39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