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168296f-8197-42d6-aeac-a11f2809bc0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168296f-8197-42d6-aeac-a11f2809bc0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168296f-8197-42d6-aeac-a11f2809bc0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168296f-8197-42d6-aeac-a11f2809bc0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168296f-8197-42d6-aeac-a11f2809bc0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168296f-8197-42d6-aeac-a11f2809bc0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168296f-8197-42d6-aeac-a11f2809bc0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168296f-8197-42d6-aeac-a11f2809bc0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168296f-8197-42d6-aeac-a11f2809bc0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168296f-8197-42d6-aeac-a11f2809bc0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168296f-8197-42d6-aeac-a11f2809bc0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4abf155aadd4580" /></Relationships>
</file>

<file path=customXML/item7.xml><?xml version="1.0" encoding="utf-8"?>
<!--Generiert am 13.12.2023 23:24:4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 2 m Belaghöhe dreiteiliger Seitenschutz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Aufbau- und Verwendungsanleitung muss am Einsatzort vorhanden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 Ballastierung beachten, siehe Aufbau- und Verwendungsanleitung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Fahrbare Arbeitsbühnen und Kleingerüste nur nach Aufbau- und Verwendungsanleitung des Herstellers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Fahrrollen müssen unverlierbar befestigt sein und nach dem Verfahren durch Bremshebel festgelegt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Fahrwege müssen eben, tragfähig und hindernisfrei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auf Belagflächen abspringen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Verfahren der Arbeitsbühnen müssen diese verlassen werden (personenbesetztes Verfahren ist verboten)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Fahrbare Arbeitsbühne und Kleingerüste</Arbeitsblatt_MAG>
  <Arbeitsblatt_Name>Fahrbare Arbeitsbühne und Kleingerüste</Arbeitsblatt_Name>
</ArbeitsblattContext>
</file>

<file path=customXML/itemProps7.xml><?xml version="1.0" encoding="utf-8"?>
<ds:datastoreItem xmlns:ds="http://schemas.openxmlformats.org/officeDocument/2006/customXml" ds:itemID="{9168296f-8197-42d6-aeac-a11f2809bc0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