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cb13e98b-a912-43aa-af16-fba43aece9e5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cb13e98b-a912-43aa-af16-fba43aece9e5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cb13e98b-a912-43aa-af16-fba43aece9e5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cb13e98b-a912-43aa-af16-fba43aece9e5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cb13e98b-a912-43aa-af16-fba43aece9e5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cb13e98b-a912-43aa-af16-fba43aece9e5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cb13e98b-a912-43aa-af16-fba43aece9e5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b13e98b-a912-43aa-af16-fba43aece9e5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b13e98b-a912-43aa-af16-fba43aece9e5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b13e98b-a912-43aa-af16-fba43aece9e5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b13e98b-a912-43aa-af16-fba43aece9e5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33b731849184199" /></Relationships>
</file>

<file path=customXML/item7.xml><?xml version="1.0" encoding="utf-8"?>
<!--Generiert am 13.12.2023 23:24:4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richtigen Pegelstand des Dielektrikums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Automatische Löscheinrichtung (z. B. mit Löschpulver oder Löschschaum, kein Wasser!) bei unbeaufsichtigtem Betrieb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Brennbare und entzündliche Stoffe im Umkreis von mindestens fünf Metern der Erodiermaschine entfernen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Brennpunkt des Dielektrikums muss über 60° C liegen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Ggf. beim Senkerodieren Absaugung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Nur Maschinenleuchten mit Schutzkleinspannung oder in Schutzart IP 54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der elektrischen Betriebsmittel auf ihren ordnungsgemäßen Zustand durch eine Elektrofachkraft oder unter Anleitung einer Elektrofachkraft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Spannungsführende Teile möglichst abdecken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Hinweis und Verbot des Aufenthalts in der Nähe der Erodiermaschine für Implantatträger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Elektromagnetische Felder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Hautschutzplan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Hautkontakt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Hautschutz- und Hautpflegemittel regelmäßig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 Unterspannungsauslöser ist nachzurüsten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Festgestellte Manipulationen umgehend rückgängig machen. Beachten Sie die entsprechenden Vorschriften und Hinweise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Not-Halt-Einrichtung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Schutzeinrichtungen im Rahmen der regelmäßigen Prüfungen auf ordnungsgemäße Funktion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Draht- und Senkerodiermaschine</Arbeitsblatt_MAG>
  <Arbeitsblatt_Name>Draht- und Senkerodiermaschine</Arbeitsblatt_Name>
</ArbeitsblattContext>
</file>

<file path=customXML/itemProps7.xml><?xml version="1.0" encoding="utf-8"?>
<ds:datastoreItem xmlns:ds="http://schemas.openxmlformats.org/officeDocument/2006/customXml" ds:itemID="{cb13e98b-a912-43aa-af16-fba43aece9e5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