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72c273f-ffe4-4dc3-ac01-43a41d75cb2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72c273f-ffe4-4dc3-ac01-43a41d75cb2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72c273f-ffe4-4dc3-ac01-43a41d75cb2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72c273f-ffe4-4dc3-ac01-43a41d75cb2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72c273f-ffe4-4dc3-ac01-43a41d75cb2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72c273f-ffe4-4dc3-ac01-43a41d75cb2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72c273f-ffe4-4dc3-ac01-43a41d75cb2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72c273f-ffe4-4dc3-ac01-43a41d75cb2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72c273f-ffe4-4dc3-ac01-43a41d75cb2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72c273f-ffe4-4dc3-ac01-43a41d75cb2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72c273f-ffe4-4dc3-ac01-43a41d75cb2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cf32e39f0114f4a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Nothaltreißleine auf Zug und Druck reagierend entlang der Welle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Fräsaggregate verdecken/einhausen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Zugriff zu Werkzeugen durch feste Abdeckung, z. B. Absaughaube,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Bearbeitungsaggregate kapseln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Doppelendprofiler</Arbeitsblatt_MAG>
  <Arbeitsblatt_Name>Doppelendprofiler</Arbeitsblatt_Name>
</ArbeitsblattContext>
</file>

<file path=customXML/itemProps7.xml><?xml version="1.0" encoding="utf-8"?>
<ds:datastoreItem xmlns:ds="http://schemas.openxmlformats.org/officeDocument/2006/customXml" ds:itemID="{e72c273f-ffe4-4dc3-ac01-43a41d75cb2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