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ed99244-b0ae-4f5c-a577-e5a8553316c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ed99244-b0ae-4f5c-a577-e5a8553316c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ed99244-b0ae-4f5c-a577-e5a8553316c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ed99244-b0ae-4f5c-a577-e5a8553316c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ed99244-b0ae-4f5c-a577-e5a8553316c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ed99244-b0ae-4f5c-a577-e5a8553316c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ed99244-b0ae-4f5c-a577-e5a8553316c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ed99244-b0ae-4f5c-a577-e5a8553316c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ed99244-b0ae-4f5c-a577-e5a8553316c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ed99244-b0ae-4f5c-a577-e5a8553316c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ed99244-b0ae-4f5c-a577-e5a8553316c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99f0a62587a40be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Ablageflächen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Bewegungsflächen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Ordnung und Sauberkeit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Durchgangsbreiten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Versorgungsleitungen sicher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Büroarbeitsplatz</Arbeitsblatt_MAG>
  <Arbeitsblatt_Name>Büroarbeitsplatz</Arbeitsblatt_Name>
</ArbeitsblattContext>
</file>

<file path=customXML/itemProps7.xml><?xml version="1.0" encoding="utf-8"?>
<ds:datastoreItem xmlns:ds="http://schemas.openxmlformats.org/officeDocument/2006/customXml" ds:itemID="{9ed99244-b0ae-4f5c-a577-e5a8553316c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