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86e834a-cb73-4d1a-b20a-2886cd35e6f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86e834a-cb73-4d1a-b20a-2886cd35e6f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86e834a-cb73-4d1a-b20a-2886cd35e6f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86e834a-cb73-4d1a-b20a-2886cd35e6f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86e834a-cb73-4d1a-b20a-2886cd35e6f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86e834a-cb73-4d1a-b20a-2886cd35e6f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86e834a-cb73-4d1a-b20a-2886cd35e6f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86e834a-cb73-4d1a-b20a-2886cd35e6f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86e834a-cb73-4d1a-b20a-2886cd35e6f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86e834a-cb73-4d1a-b20a-2886cd35e6f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86e834a-cb73-4d1a-b20a-2886cd35e6f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66a6e7b40a140e3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Betreten des Gefahrbereiches mit einer Durchgangsverhinderung, z. B. durch Absperrungen oder Zäune unterhalb des Blockzuges, unterbinden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Gefahrstellen durch distanzierende Schutzeinrichtungen (z. B. Stehverhinderer)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m, bei geraden und durchgehend angetriebenen Blockzügen über 80 m Länge mindesten alle 40 m,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 B. durch Schutzgitter oder Abdeckungen)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Störungsbeseitigung das Rundholz mit einem Manipulator, z. B. Kran mit Greifer, bewegen, um das Einsteigen in die Anlage zu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Störungsbeseitigung das Rundholz mit einem Manipulator, z.B. Kran mit Greifer, bewegen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Blockzug zu Rundholz-Sortierboxen</Arbeitsblatt_MAG>
  <Arbeitsblatt_Name>Blockzug zu Rundholz-Sortierboxen</Arbeitsblatt_Name>
</ArbeitsblattContext>
</file>

<file path=customXML/itemProps7.xml><?xml version="1.0" encoding="utf-8"?>
<ds:datastoreItem xmlns:ds="http://schemas.openxmlformats.org/officeDocument/2006/customXml" ds:itemID="{086e834a-cb73-4d1a-b20a-2886cd35e6f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