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4098083a-915c-4b29-8436-f306806fd9c5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4098083a-915c-4b29-8436-f306806fd9c5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4098083a-915c-4b29-8436-f306806fd9c5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4098083a-915c-4b29-8436-f306806fd9c5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4098083a-915c-4b29-8436-f306806fd9c5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4098083a-915c-4b29-8436-f306806fd9c5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4098083a-915c-4b29-8436-f306806fd9c5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098083a-915c-4b29-8436-f306806fd9c5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098083a-915c-4b29-8436-f306806fd9c5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4098083a-915c-4b29-8436-f306806fd9c5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4098083a-915c-4b29-8436-f306806fd9c5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82cfba0774344fe6" /></Relationships>
</file>

<file path=customXML/item7.xml><?xml version="1.0" encoding="utf-8"?>
<!--Generiert am 13.12.2023 23:25:0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Sichere Zugänge (Treppen, Laufstege, Überstiege) und Standflächen schaffen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Automatikbetrieb: Gefahrbereich (Umzäunung) mit elektrisch verriegelten Zugangstüren und Zuhaltung,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Zuhaltung erst freigeben, wenn sämtliche gefahrbringenden Bewegungen (z. B. Vorschubbewegungen, Auswerfer) zum Stillstand gekommen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automatischem Blockzug: Blockzug und Rundholz-Einwurf-Bereich stirnseitig verkleiden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handgesteuertem Blockzug: Alle Personen, die die Anlage führen, anweisen, bei allen Fahrbewegungen des Blockzugs darauf zu achten, dass andere Personen nicht gefährdet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Förderebene des Blockzugs wannenartig verkleiden, um ein Herabfallen des Rundholzes oder der Werkstücke zu verhindern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Gefahrbereich (Umzäunung) mit elektrisch verriegelten Zugangstüren und Zuhaltung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Im Automatikbetrieb Zuhaltung erst freigeben, wenn sämtliche gefahrbringenden Bewegungen (z. B. Vorschubbewegungen, Auswerfer) zum Stillstand gekommen sind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Einzelgefahrstellen des Förderers (z. B. durch Abdeckungen oder Füllstücke mit max. 5 mm Spaltöffnung),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Blockzug vor der Sägeanlage</Arbeitsblatt_MAG>
  <Arbeitsblatt_Name>Blockzug vor der Sägeanlage</Arbeitsblatt_Name>
</ArbeitsblattContext>
</file>

<file path=customXML/itemProps7.xml><?xml version="1.0" encoding="utf-8"?>
<ds:datastoreItem xmlns:ds="http://schemas.openxmlformats.org/officeDocument/2006/customXml" ds:itemID="{4098083a-915c-4b29-8436-f306806fd9c5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