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888d0b2-100b-4476-af7b-92742fd32bb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888d0b2-100b-4476-af7b-92742fd32bb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888d0b2-100b-4476-af7b-92742fd32bb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888d0b2-100b-4476-af7b-92742fd32bb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888d0b2-100b-4476-af7b-92742fd32bb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888d0b2-100b-4476-af7b-92742fd32bb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888d0b2-100b-4476-af7b-92742fd32bb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888d0b2-100b-4476-af7b-92742fd32bb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888d0b2-100b-4476-af7b-92742fd32bb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888d0b2-100b-4476-af7b-92742fd32bb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888d0b2-100b-4476-af7b-92742fd32bb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3f589080c5a42a6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still stehen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 B. durch Abdeckungen oder Füllstücke mit max. 5 mm Spaltöffnung)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Blockzug vor Entrindung/Kappstation/Vermessung</Arbeitsblatt_MAG>
  <Arbeitsblatt_Name>Blockzug vor Entrindung/Kappstation/Vermessung</Arbeitsblatt_Name>
</ArbeitsblattContext>
</file>

<file path=customXML/itemProps7.xml><?xml version="1.0" encoding="utf-8"?>
<ds:datastoreItem xmlns:ds="http://schemas.openxmlformats.org/officeDocument/2006/customXml" ds:itemID="{1888d0b2-100b-4476-af7b-92742fd32bb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