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5614b18c-b19b-4d7a-b035-c0d051bece71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5614b18c-b19b-4d7a-b035-c0d051bece71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5614b18c-b19b-4d7a-b035-c0d051bece71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5614b18c-b19b-4d7a-b035-c0d051bece71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5614b18c-b19b-4d7a-b035-c0d051bece71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5614b18c-b19b-4d7a-b035-c0d051bece71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5614b18c-b19b-4d7a-b035-c0d051bece71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614b18c-b19b-4d7a-b035-c0d051bece71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614b18c-b19b-4d7a-b035-c0d051bece71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614b18c-b19b-4d7a-b035-c0d051bece71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614b18c-b19b-4d7a-b035-c0d051bece71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ee074514fc5c4f7e" /></Relationships>
</file>

<file path=customXML/item7.xml><?xml version="1.0" encoding="utf-8"?>
<!--Generiert am 13.12.2023 23:25:0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Distanzierende Schutzeinrichtung zur Sicherung der Quetschstellen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Einzelgefahrstellen durch die Verkleidung der Kettenauflauf- und Scherstellen oder durch Abdeckung der Fördereinrichtungen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Förderebene auskleiden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Umzäunung mit elektrisch verriegelten Zugangstüren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Übergabestelle und offen zugängliche Förderebene am Beurteilungsarbeitsplatz mit Umzäunung und/oder Sicherheitslichtschranken gegen Zutritt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Beurteilungsförderer (Schnittholz)</Arbeitsblatt_MAG>
  <Arbeitsblatt_Name>Beurteilungsförderer (Schnittholz)</Arbeitsblatt_Name>
</ArbeitsblattContext>
</file>

<file path=customXML/itemProps7.xml><?xml version="1.0" encoding="utf-8"?>
<ds:datastoreItem xmlns:ds="http://schemas.openxmlformats.org/officeDocument/2006/customXml" ds:itemID="{5614b18c-b19b-4d7a-b035-c0d051bece71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