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0fd3e2a-21d1-4315-a57d-838b842c192e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0fd3e2a-21d1-4315-a57d-838b842c192e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0fd3e2a-21d1-4315-a57d-838b842c192e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0fd3e2a-21d1-4315-a57d-838b842c192e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0fd3e2a-21d1-4315-a57d-838b842c192e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0fd3e2a-21d1-4315-a57d-838b842c192e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0fd3e2a-21d1-4315-a57d-838b842c192e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fd3e2a-21d1-4315-a57d-838b842c192e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fd3e2a-21d1-4315-a57d-838b842c192e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0fd3e2a-21d1-4315-a57d-838b842c192e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0fd3e2a-21d1-4315-a57d-838b842c192e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c2920fb07cf4183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 mit Zuhaltung; bei Bedarf in Kombination mit Sicherheitslichtschranken, wenn nach dem Auslösen die gefahrbringenden Bewegungen vor dem Erreichen und nach &lt; 10 s, gestoppt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Automatischer Brettwender</Arbeitsblatt_MAG>
  <Arbeitsblatt_Name>Automatischer Brettwender</Arbeitsblatt_Name>
</ArbeitsblattContext>
</file>

<file path=customXML/itemProps7.xml><?xml version="1.0" encoding="utf-8"?>
<ds:datastoreItem xmlns:ds="http://schemas.openxmlformats.org/officeDocument/2006/customXml" ds:itemID="{70fd3e2a-21d1-4315-a57d-838b842c192e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