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4d9d505-f833-4360-bca3-fa235b6c587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4d9d505-f833-4360-bca3-fa235b6c587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4d9d505-f833-4360-bca3-fa235b6c587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4d9d505-f833-4360-bca3-fa235b6c587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4d9d505-f833-4360-bca3-fa235b6c587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4d9d505-f833-4360-bca3-fa235b6c587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4d9d505-f833-4360-bca3-fa235b6c587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4d9d505-f833-4360-bca3-fa235b6c587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4d9d505-f833-4360-bca3-fa235b6c587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4d9d505-f833-4360-bca3-fa235b6c587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4d9d505-f833-4360-bca3-fa235b6c587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bdeba8d94f364c93" /></Relationships>
</file>

<file path=customXML/item7.xml><?xml version="1.0" encoding="utf-8"?>
<!--Generiert am 13.12.2023 23:24:4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Arbeiten am Kraftstoffsystem über Gruben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Ausreichende natürliche Lüftung sicherstellen (ab Grubentiefe &gt;1,6 m und bei Verhältnis Länge/Tiefe von kleiner 3/1; techn. Lüftung mit mind. 6 Luftwechsel/Std.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Brennbare Arbeits- und Betriebsstoffe aus der Arbeitsgrube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Gruben bis zu einer max. Tiefe von 1,6m mit Gitterrosteinlagen an den Enden mind. 1m lang dichte Abdeckung max. Länge 4m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Arbeiten mit Bremsenreinigern an Arbeitsgruben und Unterfluranlagen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Tanks durch Abpumpen entleeren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Arbeitsplattformen mit Absturzsicherung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längeren Gruben Übergangsstege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Grube deutlich stärker als Allgemeinbeleuchtung beleuchten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Grubenränder durch gelb-schwarze Kennzeichnung hervorheben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 gleichzeitiges Verstellen der Ausgänge durch Fahrzeuge, evtl. zusätzliche Ausstiege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Steigleiter/-eisen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Mindestens 2 Treppen einsetzen, bei Gruben bis 5m Länge statt 2.Treppe Stufenanlegeleiter möglich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benutzte Gruben abdecken oder absperren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Treppen und Grubenboden sauber und instandhalten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Anstoßkappe bereitstellen und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Arbeitsgrube/Unterfluranlage</Arbeitsblatt_MAG>
  <Arbeitsblatt_Name>Arbeitsgrube/Unterfluranlage</Arbeitsblatt_Name>
</ArbeitsblattContext>
</file>

<file path=customXML/itemProps7.xml><?xml version="1.0" encoding="utf-8"?>
<ds:datastoreItem xmlns:ds="http://schemas.openxmlformats.org/officeDocument/2006/customXml" ds:itemID="{04d9d505-f833-4360-bca3-fa235b6c587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