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8"/>
      </w:tblGrid>
      <w:tr w:rsidR="00984960" w14:paraId="3412BC3C" w14:textId="77777777" w:rsidTr="00D25B12">
        <w:trPr>
          <w:jc w:val="center"/>
        </w:trPr>
        <w:tc>
          <w:tcPr>
            <w:tcW w:w="10924" w:type="dxa"/>
            <w:tcBorders>
              <w:top w:val="single" w:sz="48" w:space="0" w:color="0000FF"/>
              <w:bottom w:val="nil"/>
            </w:tcBorders>
          </w:tcPr>
          <w:p w14:paraId="32A66238" w14:textId="77777777" w:rsidR="00984960" w:rsidRPr="00984960" w:rsidRDefault="00984960" w:rsidP="00984960">
            <w:pPr>
              <w:pStyle w:val="berschrift1"/>
              <w:spacing w:before="240" w:after="120"/>
              <w:jc w:val="center"/>
              <w:rPr>
                <w:rFonts w:ascii="Arial" w:hAnsi="Arial"/>
              </w:rPr>
            </w:pPr>
            <w:r w:rsidRPr="00984960">
              <w:rPr>
                <w:rFonts w:ascii="Arial" w:hAnsi="Arial"/>
                <w:sz w:val="28"/>
              </w:rPr>
              <w:t>BETRIEBSANWEISUNG</w:t>
            </w:r>
            <w:r>
              <w:rPr>
                <w:rFonts w:ascii="Arial" w:hAnsi="Arial"/>
                <w:sz w:val="28"/>
              </w:rPr>
              <w:t xml:space="preserve"> (BA)</w:t>
            </w:r>
          </w:p>
        </w:tc>
      </w:tr>
      <w:tr w:rsidR="00984960" w14:paraId="27FC50E3" w14:textId="77777777" w:rsidTr="00D25B12">
        <w:trPr>
          <w:jc w:val="center"/>
        </w:trPr>
        <w:tc>
          <w:tcPr>
            <w:tcW w:w="10924" w:type="dxa"/>
            <w:tcBorders>
              <w:top w:val="nil"/>
              <w:bottom w:val="nil"/>
            </w:tcBorders>
          </w:tcPr>
          <w:p w14:paraId="4DCC24FC" w14:textId="77777777" w:rsidR="00984960" w:rsidRDefault="00984960" w:rsidP="00984960">
            <w:pPr>
              <w:tabs>
                <w:tab w:val="center" w:pos="1734"/>
              </w:tabs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für das Arbeiten und Einrichten</w:t>
            </w:r>
          </w:p>
          <w:p w14:paraId="2BB3B38F" w14:textId="77777777" w:rsidR="00984960" w:rsidRDefault="00984960" w:rsidP="00984960">
            <w:pPr>
              <w:tabs>
                <w:tab w:val="center" w:pos="1734"/>
              </w:tabs>
              <w:spacing w:before="60" w:after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>an Stanzautomaten und deren Zusatzeinrichtungen</w:t>
            </w:r>
          </w:p>
        </w:tc>
      </w:tr>
      <w:tr w:rsidR="007A21FE" w14:paraId="4B83206A" w14:textId="77777777" w:rsidTr="00D25B12">
        <w:trPr>
          <w:jc w:val="center"/>
        </w:trPr>
        <w:tc>
          <w:tcPr>
            <w:tcW w:w="10924" w:type="dxa"/>
            <w:tcBorders>
              <w:top w:val="nil"/>
              <w:bottom w:val="nil"/>
            </w:tcBorders>
            <w:shd w:val="clear" w:color="auto" w:fill="0000FF"/>
          </w:tcPr>
          <w:p w14:paraId="15B7E970" w14:textId="77777777" w:rsidR="007A21FE" w:rsidRPr="00984960" w:rsidRDefault="00984960">
            <w:pPr>
              <w:pStyle w:val="berschrift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GELTUNGSBEREICH</w:t>
            </w:r>
          </w:p>
        </w:tc>
      </w:tr>
      <w:tr w:rsidR="007A21FE" w14:paraId="70B1E9CC" w14:textId="77777777" w:rsidTr="00D25B12">
        <w:trPr>
          <w:jc w:val="center"/>
        </w:trPr>
        <w:tc>
          <w:tcPr>
            <w:tcW w:w="10924" w:type="dxa"/>
            <w:tcBorders>
              <w:bottom w:val="nil"/>
            </w:tcBorders>
          </w:tcPr>
          <w:p w14:paraId="007F5B3A" w14:textId="77777777" w:rsidR="007A21FE" w:rsidRDefault="00984960" w:rsidP="00174BDF">
            <w:pPr>
              <w:spacing w:before="240" w:after="60"/>
              <w:ind w:left="221" w:right="561"/>
              <w:rPr>
                <w:rFonts w:ascii="Arial" w:hAnsi="Arial"/>
              </w:rPr>
            </w:pPr>
            <w:r>
              <w:rPr>
                <w:rFonts w:ascii="Arial" w:hAnsi="Arial"/>
              </w:rPr>
              <w:t>Diese BA gilt für das Arbeiten (Bedienen), Einrichten sowie Beseitigen von Störungen an Stanzautomaten.</w:t>
            </w:r>
          </w:p>
          <w:p w14:paraId="30DB75F2" w14:textId="77777777" w:rsidR="00984960" w:rsidRDefault="00984960" w:rsidP="00984960">
            <w:pPr>
              <w:spacing w:before="60" w:after="60"/>
              <w:ind w:left="221" w:right="56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hierfür infrage kommenden Mitarbeiter sind und werden regelmäßig unterwiesen, für ihre Aufgabe </w:t>
            </w:r>
            <w:r>
              <w:rPr>
                <w:rFonts w:ascii="Arial" w:hAnsi="Arial"/>
              </w:rPr>
              <w:br/>
              <w:t xml:space="preserve">besonders ausgebildet und mit der Durchführung der ihnen übertragenen Arbeiten beauftragt. Sie kennen diese </w:t>
            </w:r>
            <w:r w:rsidR="00353407">
              <w:rPr>
                <w:rFonts w:ascii="Arial" w:hAnsi="Arial"/>
              </w:rPr>
              <w:t>BA und beachten sie.</w:t>
            </w:r>
          </w:p>
          <w:p w14:paraId="6E488F64" w14:textId="77777777" w:rsidR="00353407" w:rsidRPr="00984960" w:rsidRDefault="00353407" w:rsidP="00174BDF">
            <w:pPr>
              <w:spacing w:before="60" w:after="240"/>
              <w:ind w:left="221" w:right="561"/>
              <w:rPr>
                <w:rFonts w:ascii="Arial" w:hAnsi="Arial"/>
              </w:rPr>
            </w:pPr>
          </w:p>
        </w:tc>
      </w:tr>
      <w:tr w:rsidR="007A21FE" w14:paraId="19D2B1E7" w14:textId="77777777" w:rsidTr="00D25B12">
        <w:trPr>
          <w:jc w:val="center"/>
        </w:trPr>
        <w:tc>
          <w:tcPr>
            <w:tcW w:w="10924" w:type="dxa"/>
            <w:tcBorders>
              <w:top w:val="nil"/>
              <w:bottom w:val="nil"/>
            </w:tcBorders>
            <w:shd w:val="clear" w:color="auto" w:fill="0000FF"/>
          </w:tcPr>
          <w:p w14:paraId="74632015" w14:textId="77777777" w:rsidR="007A21FE" w:rsidRPr="00353407" w:rsidRDefault="00353407">
            <w:pPr>
              <w:pStyle w:val="berschrift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ACHTUNG</w:t>
            </w:r>
          </w:p>
        </w:tc>
      </w:tr>
      <w:tr w:rsidR="00353407" w14:paraId="0D6394B8" w14:textId="77777777" w:rsidTr="00D25B12">
        <w:trPr>
          <w:jc w:val="center"/>
        </w:trPr>
        <w:tc>
          <w:tcPr>
            <w:tcW w:w="10928" w:type="dxa"/>
          </w:tcPr>
          <w:p w14:paraId="42FFB087" w14:textId="77777777" w:rsidR="00353407" w:rsidRDefault="00353407" w:rsidP="00174BDF">
            <w:pPr>
              <w:spacing w:before="240" w:after="60"/>
              <w:ind w:left="221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Die BA gilt nicht für das Freigeben o.g. Stanzautomaten durch Kontrollpersonen.</w:t>
            </w:r>
          </w:p>
          <w:p w14:paraId="6623FB10" w14:textId="77777777" w:rsidR="00353407" w:rsidRPr="00936149" w:rsidRDefault="00353407" w:rsidP="00174BDF">
            <w:pPr>
              <w:spacing w:before="60" w:after="240"/>
              <w:ind w:left="221" w:right="1361"/>
              <w:rPr>
                <w:rFonts w:ascii="Arial" w:hAnsi="Arial"/>
              </w:rPr>
            </w:pPr>
          </w:p>
        </w:tc>
      </w:tr>
      <w:tr w:rsidR="007A21FE" w14:paraId="66EAD973" w14:textId="77777777" w:rsidTr="00D25B12">
        <w:trPr>
          <w:jc w:val="center"/>
        </w:trPr>
        <w:tc>
          <w:tcPr>
            <w:tcW w:w="10924" w:type="dxa"/>
            <w:tcBorders>
              <w:top w:val="nil"/>
              <w:bottom w:val="nil"/>
            </w:tcBorders>
            <w:shd w:val="clear" w:color="auto" w:fill="0000FF"/>
          </w:tcPr>
          <w:p w14:paraId="404D0CA4" w14:textId="77777777" w:rsidR="007A21FE" w:rsidRPr="00353407" w:rsidRDefault="00353407">
            <w:pPr>
              <w:pStyle w:val="berschrift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GEFAHREN</w:t>
            </w:r>
          </w:p>
        </w:tc>
      </w:tr>
      <w:tr w:rsidR="00353407" w14:paraId="485744C0" w14:textId="77777777" w:rsidTr="00D25B12">
        <w:trPr>
          <w:jc w:val="center"/>
        </w:trPr>
        <w:tc>
          <w:tcPr>
            <w:tcW w:w="10928" w:type="dxa"/>
            <w:tcBorders>
              <w:top w:val="nil"/>
            </w:tcBorders>
          </w:tcPr>
          <w:p w14:paraId="5AA503DE" w14:textId="77777777" w:rsidR="00353407" w:rsidRDefault="00353407" w:rsidP="001C0A56">
            <w:pPr>
              <w:spacing w:before="240" w:after="60"/>
              <w:ind w:left="221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Beim Einrichten, beim Bedienen und bei der Beseitigung von Störungen besteht besondere Gef</w:t>
            </w:r>
            <w:r w:rsidR="00174BDF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hr von Verletzungen infolge Gefahr bringender Bewegungen sowie durch elektrische, hydraulische und pne</w:t>
            </w:r>
            <w:r>
              <w:rPr>
                <w:rFonts w:ascii="Arial" w:hAnsi="Arial"/>
              </w:rPr>
              <w:t>u</w:t>
            </w:r>
            <w:r w:rsidR="00842421">
              <w:rPr>
                <w:rFonts w:ascii="Arial" w:hAnsi="Arial"/>
              </w:rPr>
              <w:t>matische Ba</w:t>
            </w:r>
            <w:r>
              <w:rPr>
                <w:rFonts w:ascii="Arial" w:hAnsi="Arial"/>
              </w:rPr>
              <w:t>uteile der Stanzautomaten sowie deren Zusatzeinrichtungen.</w:t>
            </w:r>
          </w:p>
          <w:p w14:paraId="0792357E" w14:textId="77777777" w:rsidR="00353407" w:rsidRDefault="00353407" w:rsidP="00353407">
            <w:pPr>
              <w:spacing w:before="60" w:after="60"/>
              <w:ind w:left="221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Ferner besteht eine Gefährdung beim Handhaben und Transportieren von Coilmaterial und Fixstreifen sowie deren Gitterstreifen bzw. Abfallstücke.</w:t>
            </w:r>
          </w:p>
          <w:p w14:paraId="0F1ACE16" w14:textId="77777777" w:rsidR="00353407" w:rsidRDefault="00353407" w:rsidP="00353407">
            <w:pPr>
              <w:spacing w:before="60" w:after="60"/>
              <w:ind w:left="221" w:right="56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Weitere Gefahren sind scharfkantige bzw. spitze Bauteile, Abfallbutzen, die nicht zwangsweise abgeführt </w:t>
            </w:r>
            <w:r>
              <w:rPr>
                <w:rFonts w:ascii="Arial" w:hAnsi="Arial"/>
              </w:rPr>
              <w:br/>
              <w:t>werden oder Werkzeugsplitter bei Werkzeugbruch</w:t>
            </w:r>
            <w:r w:rsidR="00174BDF">
              <w:rPr>
                <w:rFonts w:ascii="Arial" w:hAnsi="Arial"/>
              </w:rPr>
              <w:t>.</w:t>
            </w:r>
          </w:p>
          <w:p w14:paraId="1260D505" w14:textId="77777777" w:rsidR="00174BDF" w:rsidRDefault="00174BDF" w:rsidP="00353407">
            <w:pPr>
              <w:spacing w:before="60" w:after="60"/>
              <w:ind w:left="221" w:right="566"/>
              <w:rPr>
                <w:rFonts w:ascii="Arial" w:hAnsi="Arial"/>
              </w:rPr>
            </w:pPr>
            <w:r>
              <w:rPr>
                <w:rFonts w:ascii="Arial" w:hAnsi="Arial"/>
              </w:rPr>
              <w:t>Ebenfalls besteht Gesundheitsgefährdung durch Lärm.</w:t>
            </w:r>
          </w:p>
          <w:p w14:paraId="27D8EF0B" w14:textId="77777777" w:rsidR="00174BDF" w:rsidRPr="00353407" w:rsidRDefault="00174BDF" w:rsidP="00174BDF">
            <w:pPr>
              <w:spacing w:before="60" w:after="240"/>
              <w:ind w:left="221" w:right="567"/>
              <w:rPr>
                <w:rFonts w:ascii="Arial" w:hAnsi="Arial"/>
              </w:rPr>
            </w:pPr>
          </w:p>
        </w:tc>
      </w:tr>
      <w:tr w:rsidR="007A21FE" w14:paraId="1A80D175" w14:textId="77777777" w:rsidTr="00D25B12">
        <w:trPr>
          <w:jc w:val="center"/>
        </w:trPr>
        <w:tc>
          <w:tcPr>
            <w:tcW w:w="10924" w:type="dxa"/>
            <w:tcBorders>
              <w:top w:val="nil"/>
              <w:bottom w:val="nil"/>
            </w:tcBorders>
            <w:shd w:val="clear" w:color="auto" w:fill="0000FF"/>
          </w:tcPr>
          <w:p w14:paraId="56F545BA" w14:textId="77777777" w:rsidR="007A21FE" w:rsidRPr="00174BDF" w:rsidRDefault="00174BDF">
            <w:pPr>
              <w:pStyle w:val="berschrift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SCHUTZMASSNAHMEN</w:t>
            </w:r>
          </w:p>
        </w:tc>
      </w:tr>
      <w:tr w:rsidR="00174BDF" w14:paraId="0135BBB6" w14:textId="77777777" w:rsidTr="00D25B12">
        <w:trPr>
          <w:jc w:val="center"/>
        </w:trPr>
        <w:tc>
          <w:tcPr>
            <w:tcW w:w="10928" w:type="dxa"/>
          </w:tcPr>
          <w:p w14:paraId="5AF023A9" w14:textId="77777777" w:rsidR="00174BDF" w:rsidRDefault="00174BDF" w:rsidP="001C0A56">
            <w:pPr>
              <w:numPr>
                <w:ilvl w:val="0"/>
                <w:numId w:val="20"/>
              </w:numPr>
              <w:spacing w:before="240" w:after="60"/>
              <w:ind w:left="578" w:right="1361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Beim Einrichten der Presse und Beseitigen von Störungen am Werkzeug</w:t>
            </w:r>
          </w:p>
          <w:p w14:paraId="4994E00A" w14:textId="77777777" w:rsidR="00174BDF" w:rsidRDefault="00690BA6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Pressentische freimachen und alle nicht zum Einrichten unmittelbar benötigten Gegenstände, </w:t>
            </w:r>
            <w:r>
              <w:rPr>
                <w:rFonts w:ascii="Arial" w:hAnsi="Arial"/>
              </w:rPr>
              <w:br/>
              <w:t>Werkzeuge und dergleichen aus dem Nahbereich des Stanzautomaten entfernen.</w:t>
            </w:r>
          </w:p>
          <w:p w14:paraId="6F63AAB5" w14:textId="77777777" w:rsidR="00690BA6" w:rsidRDefault="00690BA6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Coil- oder Streifenmaterial bzw. deren Reste aus dem Werkzeug entfernen. Evtl. vorhandene </w:t>
            </w:r>
            <w:r>
              <w:rPr>
                <w:rFonts w:ascii="Arial" w:hAnsi="Arial"/>
              </w:rPr>
              <w:br/>
              <w:t>Automatisierungseinrichtungen (z.B. Stanzmutternzuführung) vom Werkzeug trennen. Werkzeug-sicherungseinrichtungen, z.B. Vorschubkontrolle o.Ä., unwirksam machen.</w:t>
            </w:r>
          </w:p>
          <w:p w14:paraId="5D98E21B" w14:textId="77777777" w:rsidR="00690BA6" w:rsidRDefault="00690BA6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Stößel</w:t>
            </w:r>
            <w:r w:rsidR="004D4E3B">
              <w:rPr>
                <w:rFonts w:ascii="Arial" w:hAnsi="Arial"/>
              </w:rPr>
              <w:t xml:space="preserve"> mittels Betriebsart „Einrichten“ in den unteren Totpunkt fahren.</w:t>
            </w:r>
          </w:p>
          <w:p w14:paraId="4D27057E" w14:textId="77777777" w:rsidR="004D4E3B" w:rsidRDefault="004D4E3B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Werkzeug ein- und ausbauen. Dabei besonders Einbauhöhe und Hub beachten. </w:t>
            </w:r>
            <w:r>
              <w:rPr>
                <w:rFonts w:ascii="Arial" w:hAnsi="Arial"/>
              </w:rPr>
              <w:br/>
              <w:t>(Diese Werte sind am Werkzeug angegeben.)</w:t>
            </w:r>
          </w:p>
          <w:p w14:paraId="6D0A8AE3" w14:textId="77777777" w:rsidR="00F05C7A" w:rsidRDefault="004D4E3B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Werkzeug am Stößel mit geeigneten Spannmitteln befestigen. </w:t>
            </w:r>
          </w:p>
          <w:p w14:paraId="487F17AE" w14:textId="77777777" w:rsidR="00F05C7A" w:rsidRDefault="00F05C7A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Unterwerkzeug mit geeigneten Spannmitteln und Schrauben „leicht“ befestigen. Hierbei besonders beachten, dass keine Quetsch- und Scherstellen an Stößel, Oberwerkzeug und Spannelementen vorhanden sind.</w:t>
            </w:r>
          </w:p>
          <w:p w14:paraId="4EBC59BC" w14:textId="77777777" w:rsidR="00F05C7A" w:rsidRDefault="00F05C7A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Stößel mittels Betriebsart „Einrichten“ in den oberen Totpunkt fahren.</w:t>
            </w:r>
          </w:p>
          <w:p w14:paraId="2ACB4DE0" w14:textId="77777777" w:rsidR="00F05C7A" w:rsidRDefault="00F05C7A" w:rsidP="00F05C7A">
            <w:pPr>
              <w:spacing w:before="60" w:after="240"/>
              <w:ind w:left="998" w:right="709"/>
              <w:rPr>
                <w:rFonts w:ascii="Arial" w:hAnsi="Arial"/>
              </w:rPr>
            </w:pPr>
          </w:p>
          <w:p w14:paraId="54775647" w14:textId="77777777" w:rsidR="00F05C7A" w:rsidRPr="00936149" w:rsidRDefault="00F05C7A" w:rsidP="00F05C7A">
            <w:pPr>
              <w:spacing w:before="60" w:after="240"/>
              <w:ind w:left="998" w:right="709"/>
              <w:rPr>
                <w:rFonts w:ascii="Arial" w:hAnsi="Arial"/>
              </w:rPr>
            </w:pPr>
          </w:p>
        </w:tc>
      </w:tr>
      <w:tr w:rsidR="007A21FE" w14:paraId="0AAFE2F7" w14:textId="77777777" w:rsidTr="00D25B12">
        <w:trPr>
          <w:jc w:val="center"/>
        </w:trPr>
        <w:tc>
          <w:tcPr>
            <w:tcW w:w="10924" w:type="dxa"/>
            <w:tcBorders>
              <w:top w:val="nil"/>
              <w:bottom w:val="nil"/>
            </w:tcBorders>
            <w:shd w:val="clear" w:color="auto" w:fill="0000FF"/>
          </w:tcPr>
          <w:p w14:paraId="056EE766" w14:textId="77777777" w:rsidR="007A21FE" w:rsidRDefault="007A21FE">
            <w:pPr>
              <w:pStyle w:val="berschrift3"/>
              <w:rPr>
                <w:rFonts w:ascii="Arial" w:hAnsi="Arial"/>
              </w:rPr>
            </w:pPr>
          </w:p>
        </w:tc>
      </w:tr>
      <w:tr w:rsidR="00F05C7A" w14:paraId="7278EDB9" w14:textId="77777777" w:rsidTr="00D25B12">
        <w:trPr>
          <w:jc w:val="center"/>
        </w:trPr>
        <w:tc>
          <w:tcPr>
            <w:tcW w:w="10928" w:type="dxa"/>
          </w:tcPr>
          <w:p w14:paraId="18A2D177" w14:textId="77777777" w:rsidR="004B4C6B" w:rsidRDefault="004B4C6B" w:rsidP="001C0A56">
            <w:pPr>
              <w:numPr>
                <w:ilvl w:val="1"/>
                <w:numId w:val="20"/>
              </w:numPr>
              <w:spacing w:before="24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Unterwerkzeug endgültig festspannen.</w:t>
            </w:r>
          </w:p>
          <w:p w14:paraId="394A917D" w14:textId="77777777" w:rsidR="004B4C6B" w:rsidRDefault="004B4C6B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Probehub mittels Betriebsart „Einrichten“ fahren.</w:t>
            </w:r>
          </w:p>
          <w:p w14:paraId="7CBC2A7A" w14:textId="77777777" w:rsidR="004B4C6B" w:rsidRDefault="004B4C6B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Evtl. vorhandene Automatisierungseinrichtungen oder Werkzeugsicherung anschließen und auf Wirksamkeit prüfen.</w:t>
            </w:r>
          </w:p>
          <w:p w14:paraId="59B673F8" w14:textId="77777777" w:rsidR="004B4C6B" w:rsidRDefault="004B4C6B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Schutzeinrichtungen</w:t>
            </w:r>
            <w:r w:rsidR="00154DDE">
              <w:rPr>
                <w:rFonts w:ascii="Arial" w:hAnsi="Arial"/>
              </w:rPr>
              <w:t xml:space="preserve"> an Werkzeug, Stanzautomat und ggf. Automatisierungseinrichtung wirksam machen, vorgesehene Betriebsart mittels Wahlschalter einstellen. Danach alle Schutzmaßnahmen auf Wirksamkeit überprüfen.</w:t>
            </w:r>
          </w:p>
          <w:p w14:paraId="478BCF6E" w14:textId="77777777" w:rsidR="00154DDE" w:rsidRDefault="00D25B12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Kontrollieren, ob Bauteile oder Abfallbutzen sich nicht stapeln können (Zwangsabführungen durch schräge Rutschen oder Förderbänder).</w:t>
            </w:r>
          </w:p>
          <w:p w14:paraId="59A17CBC" w14:textId="77777777" w:rsidR="00D25B12" w:rsidRDefault="00D25B12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Nach Abschluss der Einstellarbeiten sind die Umstelleinrichtungen - Betriebsartenschalter und Wah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schalter für die Schutzeinrichtung - fest zu schließen. Die Schlüssel sind in persönliche Verwahrung zu nehmen.</w:t>
            </w:r>
          </w:p>
          <w:p w14:paraId="233B26F8" w14:textId="77777777" w:rsidR="00D25B12" w:rsidRDefault="00D25B12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Freigabe des Stanzautomaten durch Kontrollperson veranlassen.</w:t>
            </w:r>
          </w:p>
          <w:p w14:paraId="2F52B66F" w14:textId="77777777" w:rsidR="00D25B12" w:rsidRDefault="00D25B12" w:rsidP="004B4C6B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Können während des Betriebs auftretende Störungen durch den Bediener (Einrichter) nicht beseitigt werden, ist folgendermaßen vorzugehen:</w:t>
            </w:r>
          </w:p>
          <w:p w14:paraId="132D9EF6" w14:textId="77777777" w:rsidR="00D25B12" w:rsidRDefault="00320AE6" w:rsidP="00D25B12">
            <w:pPr>
              <w:numPr>
                <w:ilvl w:val="2"/>
                <w:numId w:val="20"/>
              </w:numPr>
              <w:spacing w:before="60" w:after="60"/>
              <w:ind w:left="1639" w:right="709" w:hanging="505"/>
              <w:rPr>
                <w:rFonts w:ascii="Arial" w:hAnsi="Arial"/>
              </w:rPr>
            </w:pPr>
            <w:r>
              <w:rPr>
                <w:rFonts w:ascii="Arial" w:hAnsi="Arial"/>
              </w:rPr>
              <w:t>Hauptschalter des Stanzautomaten freischalten und gegen Wiedereinschalten sichern.</w:t>
            </w:r>
          </w:p>
          <w:p w14:paraId="583806A7" w14:textId="77777777" w:rsidR="00320AE6" w:rsidRDefault="00320AE6" w:rsidP="00D25B12">
            <w:pPr>
              <w:numPr>
                <w:ilvl w:val="2"/>
                <w:numId w:val="20"/>
              </w:numPr>
              <w:spacing w:before="60" w:after="60"/>
              <w:ind w:left="1639" w:right="709" w:hanging="505"/>
              <w:rPr>
                <w:rFonts w:ascii="Arial" w:hAnsi="Arial"/>
              </w:rPr>
            </w:pPr>
            <w:r>
              <w:rPr>
                <w:rFonts w:ascii="Arial" w:hAnsi="Arial"/>
              </w:rPr>
              <w:t>Aufsicht</w:t>
            </w:r>
            <w:r w:rsidR="00726DD5">
              <w:rPr>
                <w:rFonts w:ascii="Arial" w:hAnsi="Arial"/>
              </w:rPr>
              <w:t xml:space="preserve"> F</w:t>
            </w:r>
            <w:r>
              <w:rPr>
                <w:rFonts w:ascii="Arial" w:hAnsi="Arial"/>
              </w:rPr>
              <w:t>ührenden informieren.</w:t>
            </w:r>
          </w:p>
          <w:p w14:paraId="786412DA" w14:textId="77777777" w:rsidR="00320AE6" w:rsidRDefault="00320AE6" w:rsidP="00320AE6">
            <w:pPr>
              <w:spacing w:before="60" w:after="60"/>
              <w:ind w:right="709"/>
              <w:rPr>
                <w:rFonts w:ascii="Arial" w:hAnsi="Arial"/>
              </w:rPr>
            </w:pPr>
          </w:p>
          <w:p w14:paraId="32341B66" w14:textId="77777777" w:rsidR="00320AE6" w:rsidRDefault="00320AE6" w:rsidP="00320AE6">
            <w:pPr>
              <w:numPr>
                <w:ilvl w:val="0"/>
                <w:numId w:val="20"/>
              </w:numPr>
              <w:spacing w:before="60" w:after="60"/>
              <w:ind w:left="578" w:right="709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beim Handhaben von Coilmaterial, Fixstreifen und deren Abfällen</w:t>
            </w:r>
          </w:p>
          <w:p w14:paraId="140BE89B" w14:textId="77777777" w:rsidR="00320AE6" w:rsidRDefault="00320AE6" w:rsidP="00320AE6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Coil- und Fixstreifenpakete nur mit den dafür vorgesehenen Anschlagmitteln (C-Haken und Heb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bändern) anheben und auf die Haspel auflegen. Dabei die Coilgewichte und Höchstlast der </w:t>
            </w:r>
            <w:r>
              <w:rPr>
                <w:rFonts w:ascii="Arial" w:hAnsi="Arial"/>
              </w:rPr>
              <w:br/>
              <w:t>Anschlagmittel beachten.</w:t>
            </w:r>
          </w:p>
          <w:p w14:paraId="27E73FE7" w14:textId="77777777" w:rsidR="00320AE6" w:rsidRDefault="00320AE6" w:rsidP="00320AE6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Wichtig ist, dass die Coils in den Coilgestellen mit den dafür vorgesehenen variablen Anschlägen gegen Umkippen gesichert werden.</w:t>
            </w:r>
          </w:p>
          <w:p w14:paraId="6D8B403B" w14:textId="77777777" w:rsidR="00320AE6" w:rsidRDefault="00AE07A4" w:rsidP="00320AE6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Bevor ein Coil auf der Haspel aufgeschnitten wird, muss die Andrückrolle wirksam sein.</w:t>
            </w:r>
          </w:p>
          <w:p w14:paraId="122C03EF" w14:textId="77777777" w:rsidR="00AE07A4" w:rsidRDefault="00AE07A4" w:rsidP="00320AE6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Aufschneiden der Stahlspannbänder nur mit den dafür vorgesehenen Scheren durchführen.</w:t>
            </w:r>
          </w:p>
          <w:p w14:paraId="3D9F9BE6" w14:textId="77777777" w:rsidR="00AE07A4" w:rsidRDefault="00AE07A4" w:rsidP="00320AE6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Beim Einfädeln des Coils in die Richtwalzen, Vorschubwalzen bzw. Vorschubzangen und in das Werkzeug unbedingt schnittfeste Handschuhe tragen.</w:t>
            </w:r>
          </w:p>
          <w:p w14:paraId="2F2CA99C" w14:textId="77777777" w:rsidR="00AE07A4" w:rsidRDefault="00AE07A4" w:rsidP="00320AE6">
            <w:pPr>
              <w:numPr>
                <w:ilvl w:val="1"/>
                <w:numId w:val="20"/>
              </w:numPr>
              <w:spacing w:before="60" w:after="60"/>
              <w:ind w:left="1134" w:right="709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Nach dem Auflegen eines Coils sämtliche Schutzeinrichtungen an Richtwalzen und Vorschubgerät sowie Coilschleife auf Wirksamkeit überprüfen.</w:t>
            </w:r>
          </w:p>
          <w:p w14:paraId="5F73A474" w14:textId="77777777" w:rsidR="00F05C7A" w:rsidRPr="00F05C7A" w:rsidRDefault="00F05C7A" w:rsidP="00AE07A4">
            <w:pPr>
              <w:spacing w:before="60" w:after="240"/>
              <w:ind w:left="998" w:right="851" w:hanging="431"/>
              <w:rPr>
                <w:rFonts w:ascii="Arial" w:hAnsi="Arial"/>
              </w:rPr>
            </w:pPr>
          </w:p>
        </w:tc>
      </w:tr>
      <w:tr w:rsidR="007A21FE" w14:paraId="7EB35E9D" w14:textId="77777777" w:rsidTr="00D25B12">
        <w:trPr>
          <w:jc w:val="center"/>
        </w:trPr>
        <w:tc>
          <w:tcPr>
            <w:tcW w:w="10924" w:type="dxa"/>
            <w:tcBorders>
              <w:top w:val="nil"/>
              <w:bottom w:val="nil"/>
            </w:tcBorders>
            <w:shd w:val="clear" w:color="auto" w:fill="0000FF"/>
          </w:tcPr>
          <w:p w14:paraId="2444CE84" w14:textId="77777777" w:rsidR="007A21FE" w:rsidRPr="00AE07A4" w:rsidRDefault="00AE07A4">
            <w:pPr>
              <w:pStyle w:val="berschrift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PRÜFUNGEN</w:t>
            </w:r>
          </w:p>
        </w:tc>
      </w:tr>
      <w:tr w:rsidR="007A21FE" w14:paraId="6CDB7F98" w14:textId="77777777" w:rsidTr="00D25B12">
        <w:trPr>
          <w:jc w:val="center"/>
        </w:trPr>
        <w:tc>
          <w:tcPr>
            <w:tcW w:w="10924" w:type="dxa"/>
          </w:tcPr>
          <w:p w14:paraId="4241A3DF" w14:textId="77777777" w:rsidR="007A21FE" w:rsidRDefault="00AE07A4" w:rsidP="00AE07A4">
            <w:pPr>
              <w:spacing w:before="240" w:after="60"/>
              <w:ind w:left="221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Die o.g. Stanzautomaten unterliegen den regelmäßig wiederkehrenden Prüfungen.</w:t>
            </w:r>
          </w:p>
          <w:p w14:paraId="6B387F25" w14:textId="77777777" w:rsidR="00AE07A4" w:rsidRDefault="00AE07A4" w:rsidP="00AE07A4">
            <w:pPr>
              <w:spacing w:before="60" w:after="60"/>
              <w:ind w:left="221" w:right="1361"/>
              <w:rPr>
                <w:rFonts w:ascii="Arial" w:hAnsi="Arial"/>
              </w:rPr>
            </w:pPr>
          </w:p>
          <w:p w14:paraId="7172A62D" w14:textId="77777777" w:rsidR="00AE07A4" w:rsidRDefault="00AE07A4" w:rsidP="00AE07A4">
            <w:pPr>
              <w:spacing w:before="60" w:after="60"/>
              <w:ind w:left="221" w:right="744"/>
              <w:rPr>
                <w:rFonts w:ascii="Arial" w:hAnsi="Arial"/>
              </w:rPr>
            </w:pPr>
            <w:r>
              <w:rPr>
                <w:rFonts w:ascii="Arial" w:hAnsi="Arial"/>
              </w:rPr>
              <w:t>Das in diesem Zusammenhang Erforderliche wird durch die Maschineninstandhaltungsabteilung veranlasst.</w:t>
            </w:r>
          </w:p>
          <w:p w14:paraId="565DF060" w14:textId="77777777" w:rsidR="00AE07A4" w:rsidRPr="00936149" w:rsidRDefault="00AE07A4" w:rsidP="00AE07A4">
            <w:pPr>
              <w:spacing w:before="60" w:after="240"/>
              <w:ind w:left="221" w:right="743"/>
              <w:rPr>
                <w:rFonts w:ascii="Arial" w:hAnsi="Arial"/>
              </w:rPr>
            </w:pPr>
          </w:p>
        </w:tc>
      </w:tr>
      <w:tr w:rsidR="00AE07A4" w14:paraId="0A394028" w14:textId="77777777" w:rsidTr="001C0A56">
        <w:trPr>
          <w:jc w:val="center"/>
        </w:trPr>
        <w:tc>
          <w:tcPr>
            <w:tcW w:w="10924" w:type="dxa"/>
            <w:shd w:val="clear" w:color="auto" w:fill="0000FF"/>
          </w:tcPr>
          <w:p w14:paraId="3BBAD990" w14:textId="77777777" w:rsidR="00AE07A4" w:rsidRPr="001C0A56" w:rsidRDefault="001C0A56" w:rsidP="001C0A56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FOLGEN DER NICHTBEACHTUNG</w:t>
            </w:r>
          </w:p>
        </w:tc>
      </w:tr>
      <w:tr w:rsidR="00AE07A4" w14:paraId="6EFA7B40" w14:textId="77777777" w:rsidTr="00D25B12">
        <w:trPr>
          <w:jc w:val="center"/>
        </w:trPr>
        <w:tc>
          <w:tcPr>
            <w:tcW w:w="10924" w:type="dxa"/>
          </w:tcPr>
          <w:p w14:paraId="515F0603" w14:textId="77777777" w:rsidR="00AE07A4" w:rsidRDefault="001C0A56" w:rsidP="001C0A56">
            <w:pPr>
              <w:spacing w:before="240" w:after="60"/>
              <w:ind w:left="221" w:right="1361"/>
              <w:rPr>
                <w:rFonts w:ascii="Arial" w:hAnsi="Arial"/>
              </w:rPr>
            </w:pPr>
            <w:r>
              <w:rPr>
                <w:rFonts w:ascii="Arial" w:hAnsi="Arial"/>
              </w:rPr>
              <w:t>Verletzungen, Sachschäden</w:t>
            </w:r>
          </w:p>
          <w:p w14:paraId="457685DE" w14:textId="77777777" w:rsidR="001C0A56" w:rsidRPr="00936149" w:rsidRDefault="001C0A56" w:rsidP="001C0A56">
            <w:pPr>
              <w:spacing w:before="60" w:after="240"/>
              <w:ind w:left="221" w:right="1361"/>
              <w:rPr>
                <w:rFonts w:ascii="Arial" w:hAnsi="Arial"/>
              </w:rPr>
            </w:pPr>
          </w:p>
        </w:tc>
      </w:tr>
    </w:tbl>
    <w:p w14:paraId="1A572BC8" w14:textId="77777777" w:rsidR="007A21FE" w:rsidRDefault="007A21FE"/>
    <w:sectPr w:rsidR="007A21FE" w:rsidSect="001C0A56">
      <w:pgSz w:w="11906" w:h="16838"/>
      <w:pgMar w:top="851" w:right="680" w:bottom="56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022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BC7"/>
    <w:multiLevelType w:val="multilevel"/>
    <w:tmpl w:val="65CE0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A93"/>
    <w:multiLevelType w:val="multilevel"/>
    <w:tmpl w:val="25605380"/>
    <w:lvl w:ilvl="0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2770"/>
    <w:multiLevelType w:val="multilevel"/>
    <w:tmpl w:val="99FE54CE"/>
    <w:lvl w:ilvl="0">
      <w:start w:val="1"/>
      <w:numFmt w:val="bullet"/>
      <w:lvlText w:val=""/>
      <w:lvlJc w:val="left"/>
      <w:pPr>
        <w:tabs>
          <w:tab w:val="num" w:pos="-3"/>
        </w:tabs>
        <w:ind w:left="-3" w:firstLine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61A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5572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59BF"/>
    <w:multiLevelType w:val="hybridMultilevel"/>
    <w:tmpl w:val="7A22F99E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5251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5B5F"/>
    <w:multiLevelType w:val="hybridMultilevel"/>
    <w:tmpl w:val="38E65E6C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4166E"/>
    <w:multiLevelType w:val="hybridMultilevel"/>
    <w:tmpl w:val="3DD6C804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11AD6"/>
    <w:multiLevelType w:val="hybridMultilevel"/>
    <w:tmpl w:val="70BC4AF2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651EC"/>
    <w:multiLevelType w:val="multilevel"/>
    <w:tmpl w:val="912CC9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B2028"/>
    <w:multiLevelType w:val="multilevel"/>
    <w:tmpl w:val="64CEA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483C1C"/>
    <w:multiLevelType w:val="hybridMultilevel"/>
    <w:tmpl w:val="912CC9AA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C573F"/>
    <w:multiLevelType w:val="hybridMultilevel"/>
    <w:tmpl w:val="99FE54CE"/>
    <w:lvl w:ilvl="0" w:tplc="183626E2">
      <w:start w:val="1"/>
      <w:numFmt w:val="bullet"/>
      <w:lvlText w:val=""/>
      <w:lvlJc w:val="left"/>
      <w:pPr>
        <w:tabs>
          <w:tab w:val="num" w:pos="-3"/>
        </w:tabs>
        <w:ind w:left="-3" w:firstLine="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D2A5E"/>
    <w:multiLevelType w:val="hybridMultilevel"/>
    <w:tmpl w:val="0BB43DB6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570C"/>
    <w:multiLevelType w:val="hybridMultilevel"/>
    <w:tmpl w:val="65CE0CD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A1973"/>
    <w:multiLevelType w:val="hybridMultilevel"/>
    <w:tmpl w:val="25605380"/>
    <w:lvl w:ilvl="0" w:tplc="86304F06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7"/>
  </w:num>
  <w:num w:numId="5">
    <w:abstractNumId w:val="0"/>
  </w:num>
  <w:num w:numId="6">
    <w:abstractNumId w:val="1"/>
  </w:num>
  <w:num w:numId="7">
    <w:abstractNumId w:val="19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8"/>
  </w:num>
  <w:num w:numId="16">
    <w:abstractNumId w:val="5"/>
  </w:num>
  <w:num w:numId="17">
    <w:abstractNumId w:val="11"/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10"/>
    <w:rsid w:val="00154DDE"/>
    <w:rsid w:val="00174BDF"/>
    <w:rsid w:val="001C0A56"/>
    <w:rsid w:val="002020AC"/>
    <w:rsid w:val="002B19EC"/>
    <w:rsid w:val="002D4DCB"/>
    <w:rsid w:val="00320AE6"/>
    <w:rsid w:val="00353407"/>
    <w:rsid w:val="00420281"/>
    <w:rsid w:val="004B4C6B"/>
    <w:rsid w:val="004D1509"/>
    <w:rsid w:val="004D4E3B"/>
    <w:rsid w:val="00570207"/>
    <w:rsid w:val="006902EA"/>
    <w:rsid w:val="00690BA6"/>
    <w:rsid w:val="006B2776"/>
    <w:rsid w:val="00726DD5"/>
    <w:rsid w:val="00761E9A"/>
    <w:rsid w:val="007915DD"/>
    <w:rsid w:val="007A21FE"/>
    <w:rsid w:val="007D54C7"/>
    <w:rsid w:val="00842421"/>
    <w:rsid w:val="008907DA"/>
    <w:rsid w:val="00896DF6"/>
    <w:rsid w:val="008B55CE"/>
    <w:rsid w:val="008D4012"/>
    <w:rsid w:val="00936149"/>
    <w:rsid w:val="00984960"/>
    <w:rsid w:val="00987F09"/>
    <w:rsid w:val="00AE07A4"/>
    <w:rsid w:val="00AF285A"/>
    <w:rsid w:val="00C31732"/>
    <w:rsid w:val="00C47810"/>
    <w:rsid w:val="00D25B12"/>
    <w:rsid w:val="00DA2BC6"/>
    <w:rsid w:val="00F05C7A"/>
    <w:rsid w:val="00F20338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220BE"/>
  <w15:chartTrackingRefBased/>
  <w15:docId w15:val="{030FB497-5D90-464E-8259-652BB512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012"/>
  </w:style>
  <w:style w:type="paragraph" w:styleId="berschrift1">
    <w:name w:val="heading 1"/>
    <w:basedOn w:val="Standard"/>
    <w:next w:val="Standard"/>
    <w:qFormat/>
    <w:rsid w:val="008D4012"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8D4012"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rsid w:val="008D4012"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rsid w:val="008D4012"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Hüglin, Nicole, BGHM</cp:lastModifiedBy>
  <cp:revision>2</cp:revision>
  <cp:lastPrinted>2010-01-28T11:54:00Z</cp:lastPrinted>
  <dcterms:created xsi:type="dcterms:W3CDTF">2021-12-07T10:18:00Z</dcterms:created>
  <dcterms:modified xsi:type="dcterms:W3CDTF">2021-12-07T10:18:00Z</dcterms:modified>
</cp:coreProperties>
</file>