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9"/>
        <w:gridCol w:w="6945"/>
        <w:gridCol w:w="911"/>
        <w:gridCol w:w="57"/>
        <w:gridCol w:w="1304"/>
      </w:tblGrid>
      <w:tr w:rsidR="009A1216" w14:paraId="0E9A97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48" w:space="0" w:color="0000FF"/>
              <w:left w:val="single" w:sz="48" w:space="0" w:color="0000FF"/>
              <w:right w:val="single" w:sz="6" w:space="0" w:color="auto"/>
            </w:tcBorders>
          </w:tcPr>
          <w:p w14:paraId="16ADB72A" w14:textId="77777777" w:rsidR="009A1216" w:rsidRDefault="009A1216">
            <w:pPr>
              <w:pStyle w:val="Titel"/>
            </w:pPr>
          </w:p>
          <w:p w14:paraId="21589336" w14:textId="77777777" w:rsidR="009A1216" w:rsidRDefault="009A1216">
            <w:pPr>
              <w:spacing w:after="0"/>
              <w:jc w:val="center"/>
            </w:pPr>
            <w:r>
              <w:rPr>
                <w:b/>
              </w:rPr>
              <w:t xml:space="preserve">BTR - </w:t>
            </w:r>
            <w:proofErr w:type="gramStart"/>
            <w:r>
              <w:rPr>
                <w:b/>
              </w:rPr>
              <w:t xml:space="preserve">Nr </w:t>
            </w:r>
            <w:bookmarkStart w:id="0" w:name="UwaNr"/>
            <w:bookmarkEnd w:id="0"/>
            <w:r>
              <w:rPr>
                <w:b/>
              </w:rPr>
              <w:t xml:space="preserve"> 0015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b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DATE \@ "dd.MM.yyyy"</w:instrText>
            </w:r>
            <w:r>
              <w:rPr>
                <w:sz w:val="20"/>
              </w:rPr>
              <w:fldChar w:fldCharType="separate"/>
            </w:r>
            <w:r w:rsidR="00504AD1">
              <w:rPr>
                <w:noProof/>
                <w:sz w:val="20"/>
              </w:rPr>
              <w:t>07.12.2021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945" w:type="dxa"/>
            <w:tcBorders>
              <w:top w:val="single" w:sz="48" w:space="0" w:color="0000FF"/>
              <w:left w:val="single" w:sz="6" w:space="0" w:color="auto"/>
              <w:right w:val="single" w:sz="6" w:space="0" w:color="auto"/>
            </w:tcBorders>
          </w:tcPr>
          <w:p w14:paraId="5E1446FF" w14:textId="048D1D3F" w:rsidR="009A1216" w:rsidRDefault="009A1216">
            <w:pPr>
              <w:spacing w:before="120" w:after="120"/>
              <w:jc w:val="center"/>
              <w:rPr>
                <w:b/>
                <w:color w:val="008000"/>
                <w:spacing w:val="60"/>
                <w:sz w:val="26"/>
              </w:rPr>
            </w:pPr>
            <w:r>
              <w:rPr>
                <w:b/>
                <w:spacing w:val="80"/>
                <w:sz w:val="28"/>
              </w:rPr>
              <w:t xml:space="preserve">MUSTER - </w:t>
            </w:r>
            <w:hyperlink r:id="rId5" w:history="1">
              <w:r>
                <w:rPr>
                  <w:rStyle w:val="Hyperlink"/>
                  <w:b/>
                  <w:spacing w:val="80"/>
                  <w:sz w:val="28"/>
                  <w:u w:val="none"/>
                </w:rPr>
                <w:t>BETRIEBSANWEISUNG</w:t>
              </w:r>
            </w:hyperlink>
          </w:p>
          <w:p w14:paraId="4AF4904F" w14:textId="77777777" w:rsidR="009A1216" w:rsidRDefault="009A1216">
            <w:pPr>
              <w:pStyle w:val="TitelOhne"/>
            </w:pPr>
            <w:bookmarkStart w:id="1" w:name="Titel"/>
            <w:bookmarkEnd w:id="1"/>
          </w:p>
          <w:p w14:paraId="23510137" w14:textId="77777777" w:rsidR="009A1216" w:rsidRDefault="009A1216">
            <w:pPr>
              <w:pStyle w:val="Titel"/>
            </w:pPr>
            <w:r>
              <w:t>Geltungsbereich und Tätigkeiten</w:t>
            </w:r>
          </w:p>
          <w:p w14:paraId="75A85EA3" w14:textId="77777777" w:rsidR="009A1216" w:rsidRDefault="009A1216">
            <w:pPr>
              <w:shd w:val="pct5" w:color="auto" w:fill="auto"/>
              <w:spacing w:before="0" w:after="0"/>
              <w:jc w:val="center"/>
            </w:pPr>
            <w:bookmarkStart w:id="2" w:name="Betrieb"/>
            <w:bookmarkEnd w:id="2"/>
          </w:p>
        </w:tc>
        <w:tc>
          <w:tcPr>
            <w:tcW w:w="2268" w:type="dxa"/>
            <w:gridSpan w:val="3"/>
            <w:tcBorders>
              <w:top w:val="single" w:sz="48" w:space="0" w:color="0000FF"/>
              <w:left w:val="single" w:sz="6" w:space="0" w:color="auto"/>
              <w:right w:val="single" w:sz="48" w:space="0" w:color="0000FF"/>
            </w:tcBorders>
          </w:tcPr>
          <w:p w14:paraId="5743943E" w14:textId="77777777" w:rsidR="009A1216" w:rsidRDefault="009A1216">
            <w:pPr>
              <w:tabs>
                <w:tab w:val="left" w:pos="1276"/>
              </w:tabs>
              <w:spacing w:before="120" w:after="120"/>
              <w:rPr>
                <w:sz w:val="16"/>
              </w:rPr>
            </w:pPr>
            <w:r>
              <w:rPr>
                <w:b/>
                <w:sz w:val="20"/>
              </w:rPr>
              <w:t>Stand:</w:t>
            </w:r>
            <w:r>
              <w:rPr>
                <w:b/>
                <w:sz w:val="20"/>
              </w:rPr>
              <w:tab/>
              <w:t>09/99</w:t>
            </w:r>
          </w:p>
          <w:p w14:paraId="569AE045" w14:textId="77777777" w:rsidR="009A1216" w:rsidRDefault="009A1216">
            <w:pPr>
              <w:tabs>
                <w:tab w:val="left" w:pos="1276"/>
              </w:tabs>
              <w:spacing w:before="0" w:after="120"/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</w:p>
        </w:tc>
      </w:tr>
      <w:tr w:rsidR="009A1216" w14:paraId="093197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14:paraId="5BAFFAB3" w14:textId="77777777" w:rsidR="009A1216" w:rsidRDefault="009A1216">
            <w:pPr>
              <w:pStyle w:val="TitelOhne"/>
            </w:pPr>
            <w:r>
              <w:t>ANWENDUNGSBEREICH</w:t>
            </w:r>
            <w:bookmarkStart w:id="3" w:name="Anfang"/>
            <w:bookmarkEnd w:id="3"/>
          </w:p>
        </w:tc>
      </w:tr>
      <w:tr w:rsidR="009A1216" w14:paraId="4E7B25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14:paraId="4E8E91C6" w14:textId="77777777" w:rsidR="009A1216" w:rsidRDefault="009A1216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 xml:space="preserve">Schmelzen und Schmelzebehandlung von </w:t>
            </w:r>
            <w:r>
              <w:rPr>
                <w:b/>
              </w:rPr>
              <w:br/>
              <w:t>Magnesium- und Aluminiumlegierungen</w:t>
            </w:r>
          </w:p>
        </w:tc>
      </w:tr>
      <w:tr w:rsidR="009A1216" w14:paraId="2B3CFC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14:paraId="654F38A5" w14:textId="77777777" w:rsidR="009A1216" w:rsidRDefault="009A1216">
            <w:pPr>
              <w:pStyle w:val="TitelOhne"/>
            </w:pPr>
            <w:r>
              <w:t xml:space="preserve"> GEFAHREN FÜR MENSCH UND UMWELT</w:t>
            </w:r>
          </w:p>
        </w:tc>
      </w:tr>
      <w:tr w:rsidR="009A1216" w14:paraId="6B33BA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tcBorders>
              <w:left w:val="single" w:sz="48" w:space="0" w:color="0000FF"/>
            </w:tcBorders>
          </w:tcPr>
          <w:p w14:paraId="5DA96CBF" w14:textId="77777777" w:rsidR="009A1216" w:rsidRDefault="00635D38">
            <w:pPr>
              <w:pStyle w:val="Zeichnung"/>
              <w:spacing w:before="72"/>
              <w:ind w:left="57"/>
            </w:pPr>
            <w:r>
              <w:object w:dxaOrig="10200" w:dyaOrig="8865" w14:anchorId="177D4A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52.5pt" o:ole="">
                  <v:imagedata r:id="rId6" o:title=""/>
                </v:shape>
                <o:OLEObject Type="Embed" ProgID="PBrush" ShapeID="_x0000_i1025" DrawAspect="Content" ObjectID="_1700386700" r:id="rId7"/>
              </w:object>
            </w:r>
          </w:p>
          <w:p w14:paraId="47BDBEBE" w14:textId="77777777" w:rsidR="009A1216" w:rsidRDefault="009A1216">
            <w:pPr>
              <w:pStyle w:val="Zeichnung"/>
            </w:pPr>
          </w:p>
        </w:tc>
        <w:tc>
          <w:tcPr>
            <w:tcW w:w="8125" w:type="dxa"/>
            <w:gridSpan w:val="3"/>
          </w:tcPr>
          <w:p w14:paraId="554B5351" w14:textId="77777777" w:rsidR="009A1216" w:rsidRDefault="009A1216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198" w:hanging="198"/>
              <w:rPr>
                <w:sz w:val="18"/>
              </w:rPr>
            </w:pPr>
            <w:r>
              <w:rPr>
                <w:sz w:val="18"/>
              </w:rPr>
              <w:t xml:space="preserve">Verbrennungsgefahr bei Kontakt mit Schmelze, Tiegel, heißen Werkstücken </w:t>
            </w:r>
            <w:proofErr w:type="gramStart"/>
            <w:r>
              <w:rPr>
                <w:sz w:val="18"/>
              </w:rPr>
              <w:t>usw..</w:t>
            </w:r>
            <w:proofErr w:type="gramEnd"/>
          </w:p>
          <w:p w14:paraId="45C83187" w14:textId="77777777" w:rsidR="009A1216" w:rsidRDefault="009A1216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 w:after="0"/>
              <w:ind w:left="199" w:hanging="199"/>
              <w:rPr>
                <w:sz w:val="18"/>
              </w:rPr>
            </w:pPr>
            <w:r>
              <w:rPr>
                <w:sz w:val="18"/>
              </w:rPr>
              <w:t>Werden Magnesiumlegierungen an der Luft bis nahe ihrem Schmelzpunkt erhitzt, entzünden sie sich und brennen mit weißer Flamme.</w:t>
            </w:r>
          </w:p>
          <w:p w14:paraId="2C20DF7C" w14:textId="77777777" w:rsidR="009A1216" w:rsidRDefault="009A1216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 w:after="0"/>
              <w:ind w:left="199" w:hanging="199"/>
              <w:rPr>
                <w:sz w:val="18"/>
              </w:rPr>
            </w:pPr>
            <w:r>
              <w:rPr>
                <w:sz w:val="18"/>
              </w:rPr>
              <w:t>Bei Einsatz von Schutzgas muß die maximal zulässige Konzentration sicher eingehalten werden.</w:t>
            </w:r>
          </w:p>
          <w:p w14:paraId="042A70EA" w14:textId="77777777" w:rsidR="009A1216" w:rsidRDefault="009A1216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 w:after="0"/>
              <w:ind w:left="199" w:hanging="199"/>
              <w:rPr>
                <w:sz w:val="18"/>
              </w:rPr>
            </w:pPr>
            <w:r>
              <w:rPr>
                <w:sz w:val="18"/>
              </w:rPr>
              <w:t>Wird Wasser beim Magnesiumbrand verwendet, entwickelt sich explosives Wasserstoffgas. Explosionsgefahr!</w:t>
            </w:r>
          </w:p>
        </w:tc>
        <w:tc>
          <w:tcPr>
            <w:tcW w:w="1361" w:type="dxa"/>
            <w:gridSpan w:val="2"/>
            <w:tcBorders>
              <w:right w:val="single" w:sz="48" w:space="0" w:color="0000FF"/>
            </w:tcBorders>
          </w:tcPr>
          <w:p w14:paraId="6B3A84D1" w14:textId="77777777" w:rsidR="009A1216" w:rsidRDefault="00635D38">
            <w:pPr>
              <w:pStyle w:val="Zeichnung"/>
              <w:spacing w:before="72"/>
              <w:ind w:left="-57"/>
            </w:pPr>
            <w:r>
              <w:object w:dxaOrig="9585" w:dyaOrig="8340" w14:anchorId="3CB0A816">
                <v:shape id="_x0000_i1026" type="#_x0000_t75" style="width:61pt;height:53pt" o:ole="">
                  <v:imagedata r:id="rId8" o:title=""/>
                </v:shape>
                <o:OLEObject Type="Embed" ProgID="PBrush" ShapeID="_x0000_i1026" DrawAspect="Content" ObjectID="_1700386701" r:id="rId9"/>
              </w:object>
            </w:r>
          </w:p>
          <w:p w14:paraId="3F062E87" w14:textId="77777777" w:rsidR="009A1216" w:rsidRDefault="009A1216">
            <w:pPr>
              <w:pStyle w:val="Zeichnung"/>
            </w:pPr>
          </w:p>
        </w:tc>
      </w:tr>
      <w:tr w:rsidR="009A1216" w14:paraId="4262B2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14:paraId="3A82AE3A" w14:textId="77777777" w:rsidR="009A1216" w:rsidRDefault="009A1216">
            <w:pPr>
              <w:pStyle w:val="TitelOhne"/>
            </w:pPr>
            <w:r>
              <w:t>SCHUTZMASSNAHMEN UND VERHALTENSREGELN</w:t>
            </w:r>
          </w:p>
        </w:tc>
      </w:tr>
      <w:tr w:rsidR="009A1216" w14:paraId="3B3011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tcBorders>
              <w:left w:val="single" w:sz="48" w:space="0" w:color="0000FF"/>
            </w:tcBorders>
          </w:tcPr>
          <w:p w14:paraId="5F679525" w14:textId="77777777" w:rsidR="009A1216" w:rsidRDefault="00635D38">
            <w:pPr>
              <w:pStyle w:val="Zeichnung"/>
              <w:spacing w:before="0" w:after="72"/>
              <w:ind w:left="57"/>
            </w:pPr>
            <w:r>
              <w:object w:dxaOrig="8865" w:dyaOrig="8865" w14:anchorId="602D3818">
                <v:shape id="_x0000_i1027" type="#_x0000_t75" style="width:60.5pt;height:60.5pt" o:ole="">
                  <v:imagedata r:id="rId10" o:title=""/>
                </v:shape>
                <o:OLEObject Type="Embed" ProgID="PBrush" ShapeID="_x0000_i1027" DrawAspect="Content" ObjectID="_1700386702" r:id="rId11"/>
              </w:object>
            </w:r>
            <w:r>
              <w:object w:dxaOrig="8865" w:dyaOrig="8865" w14:anchorId="41CDE455">
                <v:shape id="_x0000_i1028" type="#_x0000_t75" style="width:60.5pt;height:60.5pt" o:ole="">
                  <v:imagedata r:id="rId12" o:title=""/>
                </v:shape>
                <o:OLEObject Type="Embed" ProgID="PBrush" ShapeID="_x0000_i1028" DrawAspect="Content" ObjectID="_1700386703" r:id="rId13"/>
              </w:object>
            </w:r>
            <w:r>
              <w:object w:dxaOrig="8865" w:dyaOrig="8865" w14:anchorId="12BD7523">
                <v:shape id="_x0000_i1029" type="#_x0000_t75" style="width:60.5pt;height:60.5pt" o:ole="">
                  <v:imagedata r:id="rId14" o:title=""/>
                </v:shape>
                <o:OLEObject Type="Embed" ProgID="PBrush" ShapeID="_x0000_i1029" DrawAspect="Content" ObjectID="_1700386704" r:id="rId15"/>
              </w:object>
            </w:r>
          </w:p>
        </w:tc>
        <w:tc>
          <w:tcPr>
            <w:tcW w:w="8125" w:type="dxa"/>
            <w:gridSpan w:val="3"/>
          </w:tcPr>
          <w:p w14:paraId="23D19DCF" w14:textId="77777777" w:rsidR="009A1216" w:rsidRDefault="009A1216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198" w:hanging="198"/>
              <w:rPr>
                <w:sz w:val="18"/>
              </w:rPr>
            </w:pPr>
            <w:r>
              <w:rPr>
                <w:sz w:val="18"/>
              </w:rPr>
              <w:t xml:space="preserve">Masseln sind trocken zu transportieren und zu lagern. Sämtliche Masseln und das Rücklaufma-terial sind vor dem Einsatz in den Schmelzofen auf eine Temperatur von ca. 150 °C vorzwärmen, um Feuchtigkeit zu beseitigen. </w:t>
            </w:r>
            <w:proofErr w:type="gramStart"/>
            <w:r>
              <w:rPr>
                <w:sz w:val="18"/>
              </w:rPr>
              <w:t>Keine verschmutzte Masseln</w:t>
            </w:r>
            <w:proofErr w:type="gramEnd"/>
            <w:r>
              <w:rPr>
                <w:sz w:val="18"/>
              </w:rPr>
              <w:t xml:space="preserve"> verwenden.</w:t>
            </w:r>
          </w:p>
          <w:p w14:paraId="3B9FE138" w14:textId="77777777" w:rsidR="009A1216" w:rsidRDefault="009A1216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/>
              <w:ind w:left="198" w:hanging="198"/>
              <w:rPr>
                <w:sz w:val="18"/>
              </w:rPr>
            </w:pPr>
            <w:r>
              <w:rPr>
                <w:sz w:val="18"/>
              </w:rPr>
              <w:t>Beim Arbeiten mit flüssigem Magnesium muß das Gesicht gegen Metallspritzer geschützt sein.</w:t>
            </w:r>
          </w:p>
          <w:p w14:paraId="7F900512" w14:textId="77777777" w:rsidR="009A1216" w:rsidRDefault="009A1216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/>
              <w:ind w:left="198" w:hanging="198"/>
              <w:rPr>
                <w:sz w:val="18"/>
              </w:rPr>
            </w:pPr>
            <w:r>
              <w:rPr>
                <w:sz w:val="18"/>
              </w:rPr>
              <w:t>Tragen Sie die weiteren vorgeschriebenen Körperschutzmittel: schwer entflammbarer Schutzan-zug, Schutzbrille, Schutzhandschuhe, Gießereistiefel und Gehörschutz.</w:t>
            </w:r>
          </w:p>
          <w:p w14:paraId="531F7AAD" w14:textId="77777777" w:rsidR="009A1216" w:rsidRDefault="009A1216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/>
              <w:ind w:left="198" w:hanging="198"/>
              <w:rPr>
                <w:sz w:val="18"/>
              </w:rPr>
            </w:pPr>
            <w:r>
              <w:rPr>
                <w:sz w:val="18"/>
              </w:rPr>
              <w:t>Es dürfen nur trockene und vorgewärmte Geräte mit der Schmelze in Berührung kommen.</w:t>
            </w:r>
          </w:p>
          <w:p w14:paraId="79B2117E" w14:textId="77777777" w:rsidR="009A1216" w:rsidRDefault="009A1216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/>
              <w:ind w:left="198" w:hanging="198"/>
              <w:rPr>
                <w:sz w:val="18"/>
              </w:rPr>
            </w:pPr>
            <w:r>
              <w:rPr>
                <w:sz w:val="18"/>
              </w:rPr>
              <w:t>Schmelzflüssiges Material darf nur in trockene, vorgewärmte Kokillen gegossen werden.</w:t>
            </w:r>
          </w:p>
          <w:p w14:paraId="3F55F606" w14:textId="77777777" w:rsidR="009A1216" w:rsidRDefault="009A1216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/>
              <w:ind w:left="198" w:hanging="198"/>
              <w:rPr>
                <w:sz w:val="18"/>
              </w:rPr>
            </w:pPr>
            <w:r>
              <w:rPr>
                <w:sz w:val="18"/>
              </w:rPr>
              <w:t>Es dürfen keine feuchten Schutz- oder Zusatzmittel verwendet werden.</w:t>
            </w:r>
          </w:p>
          <w:p w14:paraId="5FCC29B5" w14:textId="77777777" w:rsidR="009A1216" w:rsidRDefault="009A1216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/>
              <w:ind w:left="198" w:hanging="198"/>
              <w:rPr>
                <w:sz w:val="18"/>
              </w:rPr>
            </w:pPr>
            <w:r>
              <w:rPr>
                <w:sz w:val="18"/>
              </w:rPr>
              <w:t>Werkzeuge mit Hohlgriff müssen Luftlöcher oben am Griff haben.</w:t>
            </w:r>
          </w:p>
          <w:p w14:paraId="3668E350" w14:textId="77777777" w:rsidR="009A1216" w:rsidRDefault="009A1216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/>
              <w:ind w:left="198" w:hanging="198"/>
              <w:rPr>
                <w:sz w:val="18"/>
              </w:rPr>
            </w:pPr>
            <w:r>
              <w:rPr>
                <w:sz w:val="18"/>
              </w:rPr>
              <w:t>Rost und Zunder darf nicht in Kontakt mit flüssigem Material gelangen.</w:t>
            </w:r>
          </w:p>
          <w:p w14:paraId="70E556BE" w14:textId="77777777" w:rsidR="009A1216" w:rsidRDefault="009A1216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/>
              <w:ind w:left="198" w:hanging="198"/>
              <w:rPr>
                <w:sz w:val="18"/>
              </w:rPr>
            </w:pPr>
            <w:r>
              <w:rPr>
                <w:sz w:val="18"/>
              </w:rPr>
              <w:t>Die Schutzwirkung von Schwefeldioxid endet bei etwa 700 °C.</w:t>
            </w:r>
          </w:p>
        </w:tc>
        <w:tc>
          <w:tcPr>
            <w:tcW w:w="1361" w:type="dxa"/>
            <w:gridSpan w:val="2"/>
            <w:tcBorders>
              <w:right w:val="single" w:sz="48" w:space="0" w:color="0000FF"/>
            </w:tcBorders>
          </w:tcPr>
          <w:p w14:paraId="293D9955" w14:textId="77777777" w:rsidR="009A1216" w:rsidRDefault="00635D38">
            <w:pPr>
              <w:pStyle w:val="Zeichnung"/>
              <w:spacing w:after="72"/>
              <w:ind w:left="-57"/>
            </w:pPr>
            <w:r>
              <w:object w:dxaOrig="8865" w:dyaOrig="8865" w14:anchorId="0943748B">
                <v:shape id="_x0000_i1030" type="#_x0000_t75" style="width:60.5pt;height:60.5pt" o:ole="">
                  <v:imagedata r:id="rId16" o:title=""/>
                </v:shape>
                <o:OLEObject Type="Embed" ProgID="PBrush" ShapeID="_x0000_i1030" DrawAspect="Content" ObjectID="_1700386705" r:id="rId17"/>
              </w:object>
            </w:r>
            <w:r>
              <w:object w:dxaOrig="8685" w:dyaOrig="8685" w14:anchorId="7BDAAE24">
                <v:shape id="_x0000_i1031" type="#_x0000_t75" style="width:61pt;height:61pt" o:ole="">
                  <v:imagedata r:id="rId18" o:title=""/>
                </v:shape>
                <o:OLEObject Type="Embed" ProgID="PBrush" ShapeID="_x0000_i1031" DrawAspect="Content" ObjectID="_1700386706" r:id="rId19"/>
              </w:object>
            </w:r>
            <w:r>
              <w:object w:dxaOrig="8865" w:dyaOrig="8865" w14:anchorId="0F579D62">
                <v:shape id="_x0000_i1032" type="#_x0000_t75" style="width:60.5pt;height:60.5pt" o:ole="">
                  <v:imagedata r:id="rId20" o:title=""/>
                </v:shape>
                <o:OLEObject Type="Embed" ProgID="PBrush" ShapeID="_x0000_i1032" DrawAspect="Content" ObjectID="_1700386707" r:id="rId21"/>
              </w:object>
            </w:r>
          </w:p>
        </w:tc>
      </w:tr>
      <w:tr w:rsidR="009A1216" w14:paraId="74641E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14:paraId="3E16310A" w14:textId="77777777" w:rsidR="009A1216" w:rsidRDefault="009A1216">
            <w:pPr>
              <w:pStyle w:val="TitelOhne"/>
            </w:pPr>
            <w:r>
              <w:t>VERHALTENSREGELN BEI STÖRUNGEN</w:t>
            </w:r>
          </w:p>
        </w:tc>
      </w:tr>
      <w:tr w:rsidR="009A1216" w14:paraId="47786A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tcBorders>
              <w:left w:val="single" w:sz="48" w:space="0" w:color="0000FF"/>
            </w:tcBorders>
          </w:tcPr>
          <w:p w14:paraId="3FFF8ED2" w14:textId="77777777" w:rsidR="009A1216" w:rsidRDefault="00635D38">
            <w:pPr>
              <w:pStyle w:val="Zeichnung"/>
              <w:spacing w:before="72" w:after="72"/>
              <w:ind w:left="57"/>
            </w:pPr>
            <w:r>
              <w:object w:dxaOrig="8940" w:dyaOrig="8940" w14:anchorId="2F3D6749">
                <v:shape id="_x0000_i1033" type="#_x0000_t75" style="width:57pt;height:57pt" o:ole="">
                  <v:imagedata r:id="rId22" o:title=""/>
                </v:shape>
                <o:OLEObject Type="Embed" ProgID="PBrush" ShapeID="_x0000_i1033" DrawAspect="Content" ObjectID="_1700386708" r:id="rId23"/>
              </w:object>
            </w:r>
          </w:p>
        </w:tc>
        <w:tc>
          <w:tcPr>
            <w:tcW w:w="8182" w:type="dxa"/>
            <w:gridSpan w:val="4"/>
          </w:tcPr>
          <w:p w14:paraId="4A16E608" w14:textId="77777777" w:rsidR="009A1216" w:rsidRDefault="009A1216">
            <w:pPr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198" w:hanging="198"/>
              <w:rPr>
                <w:sz w:val="18"/>
              </w:rPr>
            </w:pPr>
            <w:r>
              <w:rPr>
                <w:sz w:val="18"/>
              </w:rPr>
              <w:t xml:space="preserve">Bei Magnesiumbränden darf </w:t>
            </w:r>
            <w:r>
              <w:rPr>
                <w:b/>
                <w:sz w:val="18"/>
              </w:rPr>
              <w:t xml:space="preserve">niemals Wasser </w:t>
            </w:r>
            <w:r>
              <w:rPr>
                <w:sz w:val="18"/>
              </w:rPr>
              <w:t>eingesetzt werden.</w:t>
            </w:r>
          </w:p>
          <w:p w14:paraId="6B838F47" w14:textId="77777777" w:rsidR="009A1216" w:rsidRDefault="009A1216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 w:after="0"/>
              <w:ind w:left="198" w:hanging="198"/>
              <w:rPr>
                <w:sz w:val="18"/>
              </w:rPr>
            </w:pPr>
            <w:r>
              <w:rPr>
                <w:sz w:val="18"/>
              </w:rPr>
              <w:t xml:space="preserve">Zum Löschen eines Magnesiumbrandes können </w:t>
            </w:r>
            <w:r>
              <w:rPr>
                <w:b/>
                <w:sz w:val="18"/>
              </w:rPr>
              <w:t xml:space="preserve">Feuerlöscher der Brandklasse D </w:t>
            </w:r>
            <w:r>
              <w:rPr>
                <w:sz w:val="18"/>
              </w:rPr>
              <w:t>(Metallbrand-pulver-Löscher), Löschsand oder Abdecksalz verwendet werden.</w:t>
            </w:r>
          </w:p>
          <w:p w14:paraId="311C96D9" w14:textId="77777777" w:rsidR="009A1216" w:rsidRDefault="009A1216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/>
              <w:ind w:left="198" w:hanging="198"/>
              <w:rPr>
                <w:sz w:val="18"/>
              </w:rPr>
            </w:pPr>
            <w:r>
              <w:rPr>
                <w:sz w:val="18"/>
              </w:rPr>
              <w:t xml:space="preserve">Löschmittel für die Brandklasse A, B und C dürfen bei Magnesium </w:t>
            </w:r>
            <w:r>
              <w:rPr>
                <w:b/>
                <w:sz w:val="18"/>
              </w:rPr>
              <w:t>nicht</w:t>
            </w:r>
            <w:r>
              <w:rPr>
                <w:sz w:val="18"/>
              </w:rPr>
              <w:t xml:space="preserve"> verwendet werden, da sie die Verbrennung sogar fördern können. Wasser, Schaumlöschmittel, Kohlendioxid (CO2), ABC- und B-C-Pulver sind </w:t>
            </w:r>
            <w:r>
              <w:rPr>
                <w:b/>
                <w:sz w:val="18"/>
              </w:rPr>
              <w:t>unzulässig</w:t>
            </w:r>
            <w:r>
              <w:rPr>
                <w:sz w:val="18"/>
              </w:rPr>
              <w:t>.</w:t>
            </w:r>
          </w:p>
        </w:tc>
        <w:tc>
          <w:tcPr>
            <w:tcW w:w="1304" w:type="dxa"/>
            <w:tcBorders>
              <w:right w:val="single" w:sz="48" w:space="0" w:color="0000FF"/>
            </w:tcBorders>
          </w:tcPr>
          <w:p w14:paraId="30D3C6A5" w14:textId="77777777" w:rsidR="009A1216" w:rsidRDefault="009A1216">
            <w:pPr>
              <w:pStyle w:val="Zeichnung"/>
            </w:pPr>
          </w:p>
        </w:tc>
      </w:tr>
      <w:tr w:rsidR="009A1216" w14:paraId="76D6CF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14:paraId="718E3010" w14:textId="77777777" w:rsidR="009A1216" w:rsidRDefault="009A1216">
            <w:pPr>
              <w:pStyle w:val="TitelOhne"/>
            </w:pPr>
            <w:r>
              <w:t xml:space="preserve">VERHALTEN BEI UNFÄLLEN, ERSTE HILFE </w:t>
            </w:r>
          </w:p>
        </w:tc>
      </w:tr>
      <w:tr w:rsidR="009A1216" w14:paraId="01FBBE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tcBorders>
              <w:left w:val="single" w:sz="48" w:space="0" w:color="0000FF"/>
            </w:tcBorders>
          </w:tcPr>
          <w:p w14:paraId="29DD54C9" w14:textId="77777777" w:rsidR="009A1216" w:rsidRDefault="00635D38">
            <w:pPr>
              <w:pStyle w:val="Zeichnung"/>
              <w:spacing w:before="0" w:after="0"/>
              <w:ind w:left="57"/>
            </w:pPr>
            <w:r>
              <w:object w:dxaOrig="8865" w:dyaOrig="8865" w14:anchorId="61B01536">
                <v:shape id="_x0000_i1034" type="#_x0000_t75" style="width:57.5pt;height:57.5pt" o:ole="">
                  <v:imagedata r:id="rId24" o:title=""/>
                </v:shape>
                <o:OLEObject Type="Embed" ProgID="PBrush" ShapeID="_x0000_i1034" DrawAspect="Content" ObjectID="_1700386709" r:id="rId25"/>
              </w:object>
            </w:r>
          </w:p>
        </w:tc>
        <w:tc>
          <w:tcPr>
            <w:tcW w:w="9486" w:type="dxa"/>
            <w:gridSpan w:val="5"/>
            <w:tcBorders>
              <w:right w:val="single" w:sz="48" w:space="0" w:color="0000FF"/>
            </w:tcBorders>
          </w:tcPr>
          <w:p w14:paraId="2B0A7990" w14:textId="77777777" w:rsidR="009A1216" w:rsidRDefault="009A1216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198" w:hanging="198"/>
              <w:rPr>
                <w:sz w:val="18"/>
              </w:rPr>
            </w:pPr>
            <w:r>
              <w:rPr>
                <w:sz w:val="18"/>
              </w:rPr>
              <w:t>Maschine/Einrichtung abschalten.</w:t>
            </w:r>
          </w:p>
          <w:p w14:paraId="4BE65B49" w14:textId="77777777" w:rsidR="009A1216" w:rsidRDefault="009A1216">
            <w:pPr>
              <w:numPr>
                <w:ilvl w:val="0"/>
                <w:numId w:val="4"/>
              </w:numPr>
              <w:tabs>
                <w:tab w:val="clear" w:pos="360"/>
              </w:tabs>
              <w:spacing w:before="0" w:after="0"/>
              <w:ind w:left="199" w:hanging="199"/>
              <w:rPr>
                <w:sz w:val="18"/>
              </w:rPr>
            </w:pPr>
            <w:r>
              <w:rPr>
                <w:sz w:val="18"/>
              </w:rPr>
              <w:t>Verletzten bergen.</w:t>
            </w:r>
          </w:p>
          <w:p w14:paraId="5F48CE6B" w14:textId="77777777" w:rsidR="009A1216" w:rsidRDefault="009A1216">
            <w:pPr>
              <w:numPr>
                <w:ilvl w:val="0"/>
                <w:numId w:val="4"/>
              </w:numPr>
              <w:tabs>
                <w:tab w:val="clear" w:pos="360"/>
              </w:tabs>
              <w:spacing w:before="0" w:after="0"/>
              <w:ind w:left="199" w:hanging="199"/>
              <w:rPr>
                <w:sz w:val="18"/>
              </w:rPr>
            </w:pPr>
            <w:r>
              <w:rPr>
                <w:sz w:val="18"/>
              </w:rPr>
              <w:t xml:space="preserve">Erste Hilfe leisten (Blutung stillen, abgerissene Gliedmaßen in Plastikbeutel mitgeben, Brüche </w:t>
            </w:r>
            <w:r>
              <w:rPr>
                <w:sz w:val="18"/>
              </w:rPr>
              <w:br/>
              <w:t>ruhigstellen).</w:t>
            </w:r>
          </w:p>
          <w:p w14:paraId="0723C2FB" w14:textId="77777777" w:rsidR="009A1216" w:rsidRDefault="009A1216">
            <w:pPr>
              <w:numPr>
                <w:ilvl w:val="0"/>
                <w:numId w:val="4"/>
              </w:numPr>
              <w:tabs>
                <w:tab w:val="clear" w:pos="360"/>
              </w:tabs>
              <w:spacing w:before="0"/>
              <w:ind w:left="198" w:hanging="198"/>
              <w:rPr>
                <w:sz w:val="18"/>
              </w:rPr>
            </w:pPr>
            <w:r>
              <w:rPr>
                <w:sz w:val="18"/>
              </w:rPr>
              <w:t>Unfall melden, innerbetrieblicher Notruf:</w:t>
            </w:r>
          </w:p>
        </w:tc>
      </w:tr>
      <w:tr w:rsidR="009A1216" w14:paraId="6C06F2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14:paraId="31B79CCB" w14:textId="77777777" w:rsidR="009A1216" w:rsidRDefault="009A1216">
            <w:pPr>
              <w:pStyle w:val="TitelOhne"/>
            </w:pPr>
            <w:r>
              <w:t xml:space="preserve">INSTANDHALTUNG, ENTSORGUNG </w:t>
            </w:r>
          </w:p>
        </w:tc>
      </w:tr>
      <w:tr w:rsidR="009A1216" w14:paraId="050CA0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14:paraId="61A2ADD6" w14:textId="77777777" w:rsidR="009A1216" w:rsidRDefault="009A1216">
            <w:pPr>
              <w:numPr>
                <w:ilvl w:val="0"/>
                <w:numId w:val="5"/>
              </w:numPr>
              <w:tabs>
                <w:tab w:val="clear" w:pos="360"/>
              </w:tabs>
              <w:spacing w:after="0"/>
              <w:ind w:left="1559" w:hanging="227"/>
              <w:rPr>
                <w:sz w:val="18"/>
              </w:rPr>
            </w:pPr>
            <w:r>
              <w:rPr>
                <w:sz w:val="18"/>
              </w:rPr>
              <w:t>Krätze darf keinen Kontakt mit Wasser haben. Trocken lagern.</w:t>
            </w:r>
          </w:p>
          <w:p w14:paraId="38F3E40D" w14:textId="77777777" w:rsidR="009A1216" w:rsidRDefault="009A1216">
            <w:pPr>
              <w:numPr>
                <w:ilvl w:val="0"/>
                <w:numId w:val="5"/>
              </w:numPr>
              <w:tabs>
                <w:tab w:val="clear" w:pos="360"/>
              </w:tabs>
              <w:spacing w:before="0" w:after="0"/>
              <w:ind w:left="1560" w:hanging="228"/>
              <w:rPr>
                <w:sz w:val="18"/>
              </w:rPr>
            </w:pPr>
            <w:r>
              <w:rPr>
                <w:sz w:val="18"/>
              </w:rPr>
              <w:t>Salzhaltige Krätze ist in geprüfte UN-Fässer abzufüllen.</w:t>
            </w:r>
          </w:p>
          <w:p w14:paraId="7F80A37B" w14:textId="77777777" w:rsidR="009A1216" w:rsidRDefault="009A1216">
            <w:pPr>
              <w:numPr>
                <w:ilvl w:val="0"/>
                <w:numId w:val="5"/>
              </w:numPr>
              <w:tabs>
                <w:tab w:val="clear" w:pos="360"/>
              </w:tabs>
              <w:spacing w:before="0"/>
              <w:ind w:left="1559" w:hanging="227"/>
              <w:rPr>
                <w:sz w:val="18"/>
              </w:rPr>
            </w:pPr>
            <w:r>
              <w:rPr>
                <w:sz w:val="18"/>
              </w:rPr>
              <w:t>Verbrauchte Tiegel werden als Stahlschrott verwertet.</w:t>
            </w:r>
          </w:p>
        </w:tc>
      </w:tr>
      <w:tr w:rsidR="009A1216" w14:paraId="6873F6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6"/>
            <w:tcBorders>
              <w:left w:val="single" w:sz="48" w:space="0" w:color="0000FF"/>
              <w:right w:val="single" w:sz="48" w:space="0" w:color="0000FF"/>
            </w:tcBorders>
          </w:tcPr>
          <w:p w14:paraId="50870FBF" w14:textId="77777777" w:rsidR="009A1216" w:rsidRDefault="009A1216">
            <w:pPr>
              <w:pStyle w:val="TitelOhne"/>
            </w:pPr>
            <w:r>
              <w:t>FOLGEN DER NICHTBEACHTUNG</w:t>
            </w:r>
          </w:p>
        </w:tc>
      </w:tr>
      <w:tr w:rsidR="009A1216" w14:paraId="1371D3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6"/>
            <w:tcBorders>
              <w:left w:val="single" w:sz="48" w:space="0" w:color="0000FF"/>
              <w:bottom w:val="single" w:sz="48" w:space="0" w:color="0000FF"/>
              <w:right w:val="single" w:sz="48" w:space="0" w:color="0000FF"/>
            </w:tcBorders>
          </w:tcPr>
          <w:p w14:paraId="43B88D8B" w14:textId="77777777" w:rsidR="009A1216" w:rsidRDefault="009A1216">
            <w:pPr>
              <w:numPr>
                <w:ilvl w:val="0"/>
                <w:numId w:val="6"/>
              </w:numPr>
              <w:tabs>
                <w:tab w:val="clear" w:pos="360"/>
              </w:tabs>
              <w:spacing w:after="0"/>
              <w:ind w:left="1559" w:hanging="227"/>
              <w:rPr>
                <w:sz w:val="18"/>
              </w:rPr>
            </w:pPr>
            <w:r>
              <w:rPr>
                <w:sz w:val="18"/>
              </w:rPr>
              <w:t>Gesundheitliche Folgen: Verletzung, Erkrankung.</w:t>
            </w:r>
          </w:p>
          <w:p w14:paraId="1A1ADBE0" w14:textId="77777777" w:rsidR="009A1216" w:rsidRDefault="009A1216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/>
              <w:ind w:left="1559" w:hanging="227"/>
              <w:rPr>
                <w:sz w:val="18"/>
              </w:rPr>
            </w:pPr>
            <w:r>
              <w:rPr>
                <w:sz w:val="18"/>
              </w:rPr>
              <w:t>Sonstige Folgen: Disziplinarische Maßnahmen.</w:t>
            </w:r>
          </w:p>
        </w:tc>
      </w:tr>
    </w:tbl>
    <w:p w14:paraId="10D36421" w14:textId="77777777" w:rsidR="009A1216" w:rsidRDefault="009A1216">
      <w:pPr>
        <w:pStyle w:val="Zeichnung"/>
        <w:ind w:left="-142"/>
        <w:jc w:val="left"/>
      </w:pPr>
    </w:p>
    <w:sectPr w:rsidR="009A1216">
      <w:pgSz w:w="11907" w:h="16840"/>
      <w:pgMar w:top="737" w:right="680" w:bottom="737" w:left="68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409"/>
    <w:multiLevelType w:val="singleLevel"/>
    <w:tmpl w:val="172080E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</w:abstractNum>
  <w:abstractNum w:abstractNumId="1" w15:restartNumberingAfterBreak="0">
    <w:nsid w:val="24C13D34"/>
    <w:multiLevelType w:val="singleLevel"/>
    <w:tmpl w:val="172080E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</w:abstractNum>
  <w:abstractNum w:abstractNumId="2" w15:restartNumberingAfterBreak="0">
    <w:nsid w:val="29460B18"/>
    <w:multiLevelType w:val="singleLevel"/>
    <w:tmpl w:val="172080E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</w:abstractNum>
  <w:abstractNum w:abstractNumId="3" w15:restartNumberingAfterBreak="0">
    <w:nsid w:val="2DBA6579"/>
    <w:multiLevelType w:val="singleLevel"/>
    <w:tmpl w:val="172080E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</w:abstractNum>
  <w:abstractNum w:abstractNumId="4" w15:restartNumberingAfterBreak="0">
    <w:nsid w:val="34586103"/>
    <w:multiLevelType w:val="singleLevel"/>
    <w:tmpl w:val="172080E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</w:abstractNum>
  <w:abstractNum w:abstractNumId="5" w15:restartNumberingAfterBreak="0">
    <w:nsid w:val="56DC7351"/>
    <w:multiLevelType w:val="singleLevel"/>
    <w:tmpl w:val="172080E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grammar="clean"/>
  <w:attachedTemplate r:id="rId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D38"/>
    <w:rsid w:val="00504AD1"/>
    <w:rsid w:val="00635D38"/>
    <w:rsid w:val="009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FE0E73"/>
  <w15:chartTrackingRefBased/>
  <w15:docId w15:val="{3DF946F4-5FB6-43CE-AC45-714C890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0000FF"/>
        <w:left w:val="single" w:sz="12" w:space="1" w:color="0000FF"/>
        <w:bottom w:val="single" w:sz="12" w:space="1" w:color="0000FF"/>
        <w:right w:val="single" w:sz="12" w:space="1" w:color="0000FF"/>
      </w:pBdr>
      <w:shd w:val="solid" w:color="0000FF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hyperlink" Target="file:///\\fileserver-bghm.user.bg.vm\BGHM-Daten\Datenaustausch\INHALTSV\BTRINHAL.DOC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INW2\BTR_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BTR_01.DOT</Template>
  <TotalTime>0</TotalTime>
  <Pages>1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Schmelzen und Schmelzebehandlung von Magnesium- u. Aluminiumlegierungen</vt:lpstr>
    </vt:vector>
  </TitlesOfParts>
  <Company>EDELBG</Company>
  <LinksUpToDate>false</LinksUpToDate>
  <CharactersWithSpaces>2914</CharactersWithSpaces>
  <SharedDoc>false</SharedDoc>
  <HLinks>
    <vt:vector size="6" baseType="variant"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..\INHALTSV\BTRINHAL.DOC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Schmelzen und Schmelzebehandlung von Magnesium- u. Aluminiumlegierungen</dc:title>
  <dc:subject/>
  <dc:creator>Suzan Artikisik</dc:creator>
  <cp:keywords/>
  <dc:description>Hsr</dc:description>
  <cp:lastModifiedBy>Hüglin, Nicole, BGHM</cp:lastModifiedBy>
  <cp:revision>2</cp:revision>
  <cp:lastPrinted>1999-09-07T10:56:00Z</cp:lastPrinted>
  <dcterms:created xsi:type="dcterms:W3CDTF">2021-12-07T11:52:00Z</dcterms:created>
  <dcterms:modified xsi:type="dcterms:W3CDTF">2021-12-07T11:52:00Z</dcterms:modified>
</cp:coreProperties>
</file>