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542.35pt" w:type="dxa"/>
        <w:jc w:val="center"/>
        <w:tblBorders>
          <w:top w:val="single" w:sz="48" w:space="0" w:color="FF0000"/>
          <w:start w:val="single" w:sz="48" w:space="0" w:color="FF0000"/>
          <w:bottom w:val="single" w:sz="48" w:space="0" w:color="FF0000"/>
          <w:end w:val="single" w:sz="48" w:space="0" w:color="FF0000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361"/>
        <w:gridCol w:w="340"/>
        <w:gridCol w:w="3720"/>
        <w:gridCol w:w="3094"/>
        <w:gridCol w:w="971"/>
        <w:gridCol w:w="1361"/>
      </w:tblGrid>
      <w:tr w:rsidR="00AE68D0" w14:paraId="255C8C1A" w14:textId="77777777">
        <w:trPr>
          <w:jc w:val="center"/>
        </w:trPr>
        <w:tc>
          <w:tcPr>
            <w:tcW w:w="85.05pt" w:type="dxa"/>
            <w:gridSpan w:val="2"/>
            <w:tcBorders>
              <w:top w:val="single" w:sz="48" w:space="0" w:color="0000FF"/>
              <w:start w:val="single" w:sz="48" w:space="0" w:color="0000FF"/>
              <w:bottom w:val="single" w:sz="2" w:space="0" w:color="auto"/>
              <w:end w:val="single" w:sz="2" w:space="0" w:color="auto"/>
            </w:tcBorders>
          </w:tcPr>
          <w:p w14:paraId="608F017C" w14:textId="77777777" w:rsidR="00AE68D0" w:rsidRDefault="00AE68D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BTA-Nr. </w:t>
            </w:r>
            <w:r w:rsidR="00F37B86">
              <w:rPr>
                <w:rFonts w:ascii="Arial" w:hAnsi="Arial"/>
              </w:rPr>
              <w:t>0039</w:t>
            </w:r>
          </w:p>
          <w:p w14:paraId="6938E728" w14:textId="1BF18035" w:rsidR="00AE68D0" w:rsidRDefault="00AE68D0">
            <w:pPr>
              <w:spacing w:before="6pt" w:after="6p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2087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.70pt" w:type="dxa"/>
            <w:gridSpan w:val="2"/>
            <w:tcBorders>
              <w:top w:val="single" w:sz="48" w:space="0" w:color="0000FF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4708E610" w14:textId="1D45141C" w:rsidR="00AE68D0" w:rsidRDefault="00F22087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MUSTER-</w:t>
            </w:r>
            <w:r w:rsidR="00AE68D0"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3B6EC94E" w14:textId="5C9B3787" w:rsidR="00AE68D0" w:rsidRDefault="00AE68D0">
            <w:pPr>
              <w:spacing w:after="6p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.60pt" w:type="dxa"/>
            <w:gridSpan w:val="2"/>
            <w:tcBorders>
              <w:top w:val="single" w:sz="48" w:space="0" w:color="0000FF"/>
              <w:start w:val="single" w:sz="2" w:space="0" w:color="auto"/>
              <w:bottom w:val="single" w:sz="2" w:space="0" w:color="auto"/>
              <w:end w:val="single" w:sz="48" w:space="0" w:color="0000FF"/>
            </w:tcBorders>
          </w:tcPr>
          <w:p w14:paraId="242D98D8" w14:textId="77777777" w:rsidR="00AE68D0" w:rsidRDefault="00AE68D0">
            <w:pPr>
              <w:tabs>
                <w:tab w:val="center" w:pos="86.70pt"/>
              </w:tabs>
              <w:spacing w:before="6p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fldChar w:fldCharType="separate"/>
            </w:r>
            <w:r w:rsidR="0014476E">
              <w:rPr>
                <w:rFonts w:ascii="Arial" w:hAnsi="Arial"/>
                <w:sz w:val="16"/>
              </w:rPr>
              <w:t>MM/jahr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044D5257" w14:textId="77777777" w:rsidR="00AE68D0" w:rsidRDefault="00AE68D0">
            <w:pPr>
              <w:tabs>
                <w:tab w:val="center" w:pos="86.70pt"/>
              </w:tabs>
              <w:spacing w:before="6pt" w:after="6p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E68D0" w14:paraId="09CC4499" w14:textId="77777777">
        <w:trPr>
          <w:jc w:val="center"/>
        </w:trPr>
        <w:tc>
          <w:tcPr>
            <w:tcW w:w="271.05pt" w:type="dxa"/>
            <w:gridSpan w:val="3"/>
            <w:tcBorders>
              <w:top w:val="single" w:sz="2" w:space="0" w:color="auto"/>
              <w:start w:val="single" w:sz="48" w:space="0" w:color="0000FF"/>
              <w:bottom w:val="nil"/>
              <w:end w:val="single" w:sz="2" w:space="0" w:color="auto"/>
            </w:tcBorders>
          </w:tcPr>
          <w:p w14:paraId="6A7799A2" w14:textId="77777777" w:rsidR="00AE68D0" w:rsidRDefault="00AE68D0">
            <w:pPr>
              <w:spacing w:before="6pt" w:after="6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Betrieb/Gebäude: </w:t>
            </w:r>
          </w:p>
        </w:tc>
        <w:tc>
          <w:tcPr>
            <w:tcW w:w="271.30pt" w:type="dxa"/>
            <w:gridSpan w:val="3"/>
            <w:tcBorders>
              <w:top w:val="single" w:sz="2" w:space="0" w:color="auto"/>
              <w:start w:val="single" w:sz="2" w:space="0" w:color="auto"/>
              <w:bottom w:val="nil"/>
              <w:end w:val="single" w:sz="48" w:space="0" w:color="0000FF"/>
            </w:tcBorders>
          </w:tcPr>
          <w:p w14:paraId="094DD40A" w14:textId="77777777" w:rsidR="00AE68D0" w:rsidRDefault="00AE68D0">
            <w:pPr>
              <w:spacing w:before="6pt" w:after="6pt"/>
              <w:rPr>
                <w:rFonts w:ascii="Arial" w:hAnsi="Arial"/>
              </w:rPr>
            </w:pPr>
            <w:r>
              <w:rPr>
                <w:rFonts w:ascii="Arial" w:hAnsi="Arial"/>
              </w:rPr>
              <w:t>Geltungsbereich:</w:t>
            </w:r>
          </w:p>
        </w:tc>
      </w:tr>
      <w:tr w:rsidR="00AE68D0" w14:paraId="7F41F22D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7C706790" w14:textId="77777777" w:rsidR="00AE68D0" w:rsidRDefault="00C6209B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AE68D0" w14:paraId="04D3DEED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</w:tcPr>
          <w:p w14:paraId="1FF493B9" w14:textId="77777777" w:rsidR="00AE68D0" w:rsidRPr="00F37B86" w:rsidRDefault="00737922" w:rsidP="00F37B86">
            <w:pPr>
              <w:spacing w:before="3.60pt" w:after="3.60pt"/>
              <w:ind w:start="68.05pt" w:end="68.05pt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F37B86">
              <w:rPr>
                <w:rFonts w:ascii="Arial" w:hAnsi="Arial"/>
                <w:b/>
                <w:sz w:val="26"/>
                <w:szCs w:val="26"/>
              </w:rPr>
              <w:t xml:space="preserve">Diese Betriebsanweisung gilt für den Umgang mit </w:t>
            </w:r>
            <w:r w:rsidR="00F37B86">
              <w:rPr>
                <w:rFonts w:ascii="Arial" w:hAnsi="Arial"/>
                <w:b/>
                <w:sz w:val="26"/>
                <w:szCs w:val="26"/>
              </w:rPr>
              <w:br/>
            </w:r>
            <w:r w:rsidRPr="00F37B86">
              <w:rPr>
                <w:rFonts w:ascii="Arial" w:hAnsi="Arial"/>
                <w:b/>
                <w:sz w:val="26"/>
                <w:szCs w:val="26"/>
              </w:rPr>
              <w:t>Gerüsten und fahrbaren Arbeitsbühnen.</w:t>
            </w:r>
          </w:p>
        </w:tc>
      </w:tr>
      <w:tr w:rsidR="00AE68D0" w14:paraId="7B40FFDF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4F1BDED9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AE68D0" w14:paraId="29214F49" w14:textId="77777777">
        <w:trPr>
          <w:jc w:val="center"/>
        </w:trPr>
        <w:tc>
          <w:tcPr>
            <w:tcW w:w="68.05pt" w:type="dxa"/>
            <w:tcBorders>
              <w:top w:val="nil"/>
              <w:start w:val="single" w:sz="48" w:space="0" w:color="0000FF"/>
              <w:bottom w:val="nil"/>
            </w:tcBorders>
          </w:tcPr>
          <w:p w14:paraId="07A51470" w14:textId="32B81DEA" w:rsidR="00AE68D0" w:rsidRDefault="00527DF0">
            <w:pPr>
              <w:spacing w:before="3.60pt" w:after="3.60pt"/>
              <w:ind w:start="2.85pt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56A494F" wp14:editId="3270F6C8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635</wp:posOffset>
                  </wp:positionV>
                  <wp:extent cx="810895" cy="666750"/>
                  <wp:effectExtent l="0" t="0" r="0" b="0"/>
                  <wp:wrapNone/>
                  <wp:docPr id="3" name="Textfeld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/>
                        </wp:cNvSpPr>
                        <wp:spPr>
                          <a:xfrm>
                            <a:off x="0" y="0"/>
                            <a:ext cx="810895" cy="666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:spPr>
                        <wp:txbx>
                          <wne:txbxContent>
                            <w:p w14:paraId="66444721" w14:textId="77777777" w:rsidR="00201838" w:rsidRDefault="00201838" w:rsidP="00201838">
                              <w:r>
                                <mc:AlternateContent>
                                  <mc:Choice Requires="v">
                                    <w:object w:dxaOrig="510pt" w:dyaOrig="443.25pt" w14:anchorId="53451E2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8.75pt;height:42pt" o:ole="">
                                        <v:imagedata r:id="rId5" o:title=""/>
                                      </v:shape>
                                      <o:OLEObject Type="Embed" ProgID="PBrush" ShapeID="_x0000_i1026" DrawAspect="Content" ObjectID="_1738579899" r:id="rId6"/>
                                    </w:object>
                                  </mc:Choice>
                                  <mc:Fallback>
                                    <w:object>
                                      <w:drawing>
                                        <wp:inline distT="0" distB="0" distL="0" distR="0" wp14:anchorId="3003AD79" wp14:editId="2475478D">
                                          <wp:extent cx="619125" cy="533400"/>
                                          <wp:effectExtent l="0" t="0" r="9525" b="0"/>
                                          <wp:docPr id="2" name="Bild 2"/>
                                          <wp:cNvGraphicFramePr>
                                            <a:graphicFrameLocks xmlns:a="http://purl.oclc.org/ooxml/drawingml/main" noChangeAspect="1"/>
                                          </wp:cNvGraphicFramePr>
                                          <a:graphic xmlns:a="http://purl.oclc.org/ooxml/drawingml/main">
                                            <a:graphicData uri="http://purl.oclc.org/ooxml/drawingml/picture">
                                              <pic:pic xmlns:pic="http://purl.oclc.org/ooxml/drawingml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  <a:extLst>
                                                      <a:ext uri="{837473B0-CC2E-450a-ABE3-18F120FF3D37}">
                                                        <a15:objectPr xmlns:a15="http://schemas.microsoft.com/office/drawing/2012/main" objectId="_1738579899" isActiveX="0" linkType=""/>
                                                      </a:ext>
                                                    </a:extLst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  <w:objectEmbed w:drawAspect="content" r:id="rId6" w:progId="PBrush" w:shapeId="2" w:fieldCodes=""/>
                                    </w:object>
                                  </mc:Fallback>
                                </mc:AlternateConten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</w:p>
        </w:tc>
        <w:tc>
          <w:tcPr>
            <w:tcW w:w="474.30pt" w:type="dxa"/>
            <w:gridSpan w:val="5"/>
            <w:tcBorders>
              <w:top w:val="nil"/>
              <w:bottom w:val="nil"/>
              <w:end w:val="single" w:sz="48" w:space="0" w:color="0000FF"/>
            </w:tcBorders>
          </w:tcPr>
          <w:p w14:paraId="630DBB11" w14:textId="77777777" w:rsidR="00AE68D0" w:rsidRDefault="00737922">
            <w:pPr>
              <w:spacing w:before="3.60pt" w:after="3.60pt"/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unsachgemäßem Handhaben, aufstellen von Gerüsten bei starken Wind besteht die Gefahr von Absturz von Gerüsten und verfahren Arbeitsbühnen.</w:t>
            </w:r>
          </w:p>
          <w:p w14:paraId="20CE65BA" w14:textId="77777777" w:rsidR="00201838" w:rsidRDefault="00201838">
            <w:pPr>
              <w:spacing w:before="3.60pt" w:after="3.60pt"/>
              <w:ind w:end="68.05pt"/>
              <w:rPr>
                <w:rFonts w:ascii="Arial" w:hAnsi="Arial"/>
                <w:sz w:val="22"/>
              </w:rPr>
            </w:pPr>
          </w:p>
        </w:tc>
      </w:tr>
      <w:tr w:rsidR="00AE68D0" w14:paraId="4E65E1E5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7DEB7EA1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AE68D0" w14:paraId="700BF15E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</w:tcPr>
          <w:p w14:paraId="3597EE53" w14:textId="77777777" w:rsidR="00AE68D0" w:rsidRDefault="00737922" w:rsidP="00F37B86">
            <w:pPr>
              <w:numPr>
                <w:ilvl w:val="0"/>
                <w:numId w:val="1"/>
              </w:numPr>
              <w:tabs>
                <w:tab w:val="clear" w:pos="90.75pt"/>
              </w:tabs>
              <w:spacing w:before="3.60pt"/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Arbeitsplätze auf Gerüsten nur über dafür vorgesehene Zugänge betreten oder verlassen.</w:t>
            </w:r>
          </w:p>
          <w:p w14:paraId="209EC1B8" w14:textId="77777777" w:rsidR="00737922" w:rsidRDefault="00737922" w:rsidP="00F37B86">
            <w:pPr>
              <w:numPr>
                <w:ilvl w:val="0"/>
                <w:numId w:val="1"/>
              </w:numPr>
              <w:tabs>
                <w:tab w:val="clear" w:pos="90.75pt"/>
              </w:tabs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auf Gerüstbelägen abspringen oder abwerfen.</w:t>
            </w:r>
          </w:p>
          <w:p w14:paraId="057A61FA" w14:textId="77777777" w:rsidR="00737922" w:rsidRDefault="00737922" w:rsidP="00F37B86">
            <w:pPr>
              <w:numPr>
                <w:ilvl w:val="0"/>
                <w:numId w:val="1"/>
              </w:numPr>
              <w:tabs>
                <w:tab w:val="clear" w:pos="90.75pt"/>
              </w:tabs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 1 m Arbeitshöhe, bei Bauarbeiten ab</w:t>
            </w:r>
            <w:r w:rsidR="00D6128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 m, dreiteiliger Seitenschutz, bestehend aus Geländerholm, Zwischenholm und Bordbrett anbringen.</w:t>
            </w:r>
          </w:p>
          <w:p w14:paraId="430D54CA" w14:textId="77777777" w:rsidR="00737922" w:rsidRDefault="00737922" w:rsidP="00F37B86">
            <w:pPr>
              <w:numPr>
                <w:ilvl w:val="0"/>
                <w:numId w:val="1"/>
              </w:numPr>
              <w:tabs>
                <w:tab w:val="clear" w:pos="90.75pt"/>
              </w:tabs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Arbeitsplätzen an und über Wasser oder anderen festen oder flüssigen Stoffen, in denen man versinken </w:t>
            </w:r>
            <w:r w:rsidR="00F37B86">
              <w:rPr>
                <w:rFonts w:ascii="Arial" w:hAnsi="Arial"/>
                <w:sz w:val="22"/>
              </w:rPr>
              <w:t>können</w:t>
            </w:r>
            <w:r>
              <w:rPr>
                <w:rFonts w:ascii="Arial" w:hAnsi="Arial"/>
                <w:sz w:val="22"/>
              </w:rPr>
              <w:t xml:space="preserve"> (zum Beispiel Silos) immer Absturzsicherungen.</w:t>
            </w:r>
          </w:p>
          <w:p w14:paraId="717AA039" w14:textId="77777777" w:rsidR="00737922" w:rsidRDefault="00737922" w:rsidP="00F37B86">
            <w:pPr>
              <w:numPr>
                <w:ilvl w:val="0"/>
                <w:numId w:val="1"/>
              </w:numPr>
              <w:tabs>
                <w:tab w:val="clear" w:pos="90.75pt"/>
              </w:tabs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Nach außergewöhnlichen Einwirkungen (zum Beispiel Sturm) Gerüst überprüfen.</w:t>
            </w:r>
          </w:p>
          <w:p w14:paraId="0861988E" w14:textId="77777777" w:rsidR="00737922" w:rsidRDefault="00737922" w:rsidP="00F37B86">
            <w:pPr>
              <w:numPr>
                <w:ilvl w:val="0"/>
                <w:numId w:val="1"/>
              </w:numPr>
              <w:tabs>
                <w:tab w:val="clear" w:pos="90.75pt"/>
              </w:tabs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Fahrbare Arbeitsbühnen gegen unbeabsichtigte Fahrbewegungen sichern. </w:t>
            </w:r>
          </w:p>
          <w:p w14:paraId="23263E27" w14:textId="77777777" w:rsidR="00737922" w:rsidRDefault="00737922" w:rsidP="00F37B86">
            <w:pPr>
              <w:numPr>
                <w:ilvl w:val="0"/>
                <w:numId w:val="1"/>
              </w:numPr>
              <w:tabs>
                <w:tab w:val="clear" w:pos="90.75pt"/>
              </w:tabs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Während des Verfahrens keine Personen auf fahrbaren Arbeitsbühnen.</w:t>
            </w:r>
          </w:p>
          <w:p w14:paraId="0D2B2B59" w14:textId="77777777" w:rsidR="00737922" w:rsidRDefault="00737922" w:rsidP="00F37B86">
            <w:pPr>
              <w:numPr>
                <w:ilvl w:val="0"/>
                <w:numId w:val="1"/>
              </w:numPr>
              <w:tabs>
                <w:tab w:val="clear" w:pos="90.75pt"/>
              </w:tabs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Aufbau ausschließlich durch Fachfirmen.</w:t>
            </w:r>
          </w:p>
          <w:p w14:paraId="4C2AAC41" w14:textId="77777777" w:rsidR="00737922" w:rsidRDefault="00737922" w:rsidP="00F37B86">
            <w:pPr>
              <w:numPr>
                <w:ilvl w:val="0"/>
                <w:numId w:val="1"/>
              </w:numPr>
              <w:tabs>
                <w:tab w:val="clear" w:pos="90.75pt"/>
              </w:tabs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Fahrbare Arbeitsbühnen mittels Aufbau- und Gebrauchsanweisung aufbauen und benutzen.</w:t>
            </w:r>
          </w:p>
          <w:p w14:paraId="1C1F18ED" w14:textId="77777777" w:rsidR="00737922" w:rsidRDefault="00737922" w:rsidP="00F37B86">
            <w:pPr>
              <w:numPr>
                <w:ilvl w:val="0"/>
                <w:numId w:val="1"/>
              </w:numPr>
              <w:tabs>
                <w:tab w:val="clear" w:pos="90.75pt"/>
              </w:tabs>
              <w:spacing w:after="3.60pt"/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Gerüste erst nach schriftlicher Freigabe durch </w:t>
            </w:r>
            <w:r w:rsidR="00F37B86">
              <w:rPr>
                <w:rFonts w:ascii="Arial" w:hAnsi="Arial"/>
                <w:sz w:val="22"/>
              </w:rPr>
              <w:t>Hersteller</w:t>
            </w:r>
            <w:r>
              <w:rPr>
                <w:rFonts w:ascii="Arial" w:hAnsi="Arial"/>
                <w:sz w:val="22"/>
              </w:rPr>
              <w:t xml:space="preserve"> betreten.</w:t>
            </w:r>
          </w:p>
        </w:tc>
      </w:tr>
      <w:tr w:rsidR="00AE68D0" w14:paraId="135A1BD2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1537A8F9" w14:textId="77777777" w:rsidR="00AE68D0" w:rsidRDefault="00737922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VERHALTEN BEI STÖRUNGEN UND IM GEFAHRFALL</w:t>
            </w:r>
          </w:p>
        </w:tc>
      </w:tr>
      <w:tr w:rsidR="00AE68D0" w14:paraId="2C1065BB" w14:textId="77777777">
        <w:trPr>
          <w:jc w:val="center"/>
        </w:trPr>
        <w:tc>
          <w:tcPr>
            <w:tcW w:w="68.05pt" w:type="dxa"/>
            <w:tcBorders>
              <w:top w:val="nil"/>
              <w:start w:val="single" w:sz="48" w:space="0" w:color="0000FF"/>
              <w:bottom w:val="nil"/>
            </w:tcBorders>
          </w:tcPr>
          <w:p w14:paraId="02EA0615" w14:textId="6249E887" w:rsidR="00AE68D0" w:rsidRDefault="00527DF0">
            <w:pPr>
              <w:spacing w:before="3.60pt" w:after="3.60pt"/>
              <w:ind w:start="2.85pt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98B414E" wp14:editId="7648CF69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27305</wp:posOffset>
                  </wp:positionV>
                  <wp:extent cx="775335" cy="720090"/>
                  <wp:effectExtent l="635" t="3810" r="0" b="0"/>
                  <wp:wrapNone/>
                  <wp:docPr id="2" name="Textfeld 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 noChangeArrowheads="1"/>
                        </wp:cNvSpPr>
                        <wp:spPr bwMode="auto">
                          <a:xfrm>
                            <a:off x="0" y="0"/>
                            <a:ext cx="775335" cy="720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txbx>
                          <wne:txbxContent>
                            <w:p w14:paraId="4310E613" w14:textId="5128BC0A" w:rsidR="00201838" w:rsidRDefault="00527DF0" w:rsidP="0020183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A30734" wp14:editId="09D5263E">
                                    <wp:extent cx="628650" cy="628650"/>
                                    <wp:effectExtent l="0" t="0" r="0" b="0"/>
                                    <wp:docPr id="4" name="Grafik 8"/>
                                    <wp:cNvGraphicFramePr>
                                      <a:graphicFrameLocks xmlns:a="http://purl.oclc.org/ooxml/drawingml/main" noChangeAspect="1"/>
                                    </wp:cNvGraphicFramePr>
                                    <a:graphic xmlns:a="http://purl.oclc.org/ooxml/drawingml/main">
                                      <a:graphicData uri="http://purl.oclc.org/ooxml/drawingml/picture">
                                        <pic:pic xmlns:pic="http://purl.oclc.org/ooxml/drawingml/picture">
                                          <pic:nvPicPr>
                                            <pic:cNvPr id="0" name="Grafik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ne:txbxContent>
                        </wp:txbx>
                        <wp:bodyPr rot="0" vert="horz" wrap="none" lIns="91440" tIns="45720" rIns="91440" bIns="45720" anchor="t" anchorCtr="0" upright="1">
                          <a:sp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</w:p>
        </w:tc>
        <w:tc>
          <w:tcPr>
            <w:tcW w:w="406.25pt" w:type="dxa"/>
            <w:gridSpan w:val="4"/>
            <w:tcBorders>
              <w:top w:val="nil"/>
              <w:bottom w:val="nil"/>
            </w:tcBorders>
          </w:tcPr>
          <w:p w14:paraId="66F80F58" w14:textId="77777777" w:rsidR="00AE68D0" w:rsidRDefault="00737922" w:rsidP="00F37B86">
            <w:pPr>
              <w:numPr>
                <w:ilvl w:val="0"/>
                <w:numId w:val="2"/>
              </w:numPr>
              <w:tabs>
                <w:tab w:val="clear" w:pos="22.70pt"/>
              </w:tabs>
              <w:spacing w:before="3.60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festgestellten Mängel Arbeiten unverzüglich einstellen.</w:t>
            </w:r>
          </w:p>
          <w:p w14:paraId="55719A42" w14:textId="77777777" w:rsidR="00737922" w:rsidRDefault="00737922" w:rsidP="00F37B86">
            <w:pPr>
              <w:numPr>
                <w:ilvl w:val="0"/>
                <w:numId w:val="2"/>
              </w:numPr>
              <w:tabs>
                <w:tab w:val="clear" w:pos="22.70pt"/>
              </w:tabs>
              <w:spacing w:after="3.60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Gerüst gegen Benutzung sichern und den nächsten Vorgesetzten benachrichtigen.</w:t>
            </w:r>
          </w:p>
        </w:tc>
        <w:tc>
          <w:tcPr>
            <w:tcW w:w="68.05pt" w:type="dxa"/>
            <w:tcBorders>
              <w:top w:val="nil"/>
              <w:bottom w:val="nil"/>
              <w:end w:val="single" w:sz="48" w:space="0" w:color="0000FF"/>
            </w:tcBorders>
          </w:tcPr>
          <w:p w14:paraId="0237A70E" w14:textId="77777777" w:rsidR="00AE68D0" w:rsidRDefault="00D26CFA">
            <w:pPr>
              <w:spacing w:before="3.60pt" w:after="3.60pt"/>
              <w:ind w:start="0.85pt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7pt" w:dyaOrig="447pt" w14:anchorId="3E550C80">
                    <v:shape id="_x0000_i1027" type="#_x0000_t75" style="width:60.75pt;height:60.75pt" o:ole="">
                      <v:imagedata r:id="rId9" o:title=""/>
                    </v:shape>
                    <o:OLEObject Type="Embed" ProgID="PBrush" ShapeID="_x0000_i1027" DrawAspect="Content" ObjectID="_1738579898" r:id="rId10"/>
                  </w:object>
                </mc:Choice>
                <mc:Fallback>
                  <w:object>
                    <w:drawing>
                      <wp:inline distT="0" distB="0" distL="0" distR="0" wp14:anchorId="26B6163F" wp14:editId="63E59280">
                        <wp:extent cx="771525" cy="771525"/>
                        <wp:effectExtent l="0" t="0" r="9525" b="9525"/>
                        <wp:docPr id="1" name="Bild 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898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0" w:progId="PBrush" w:shapeId="1" w:fieldCodes=""/>
                  </w:object>
                </mc:Fallback>
              </mc:AlternateContent>
            </w:r>
          </w:p>
        </w:tc>
      </w:tr>
      <w:tr w:rsidR="00AE68D0" w14:paraId="160161F7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0C1B7FC5" w14:textId="60DB25EE" w:rsidR="00AE68D0" w:rsidRDefault="00527DF0">
            <w:pPr>
              <w:pStyle w:val="berschrift3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FCD690F" wp14:editId="48E3A91A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334645</wp:posOffset>
                  </wp:positionV>
                  <wp:extent cx="819150" cy="727710"/>
                  <wp:effectExtent l="635" t="2540" r="0" b="3175"/>
                  <wp:wrapNone/>
                  <wp:docPr id="1" name="Textfeld 1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 noChangeArrowheads="1"/>
                        </wp:cNvSpPr>
                        <wp:spPr bwMode="auto">
                          <a:xfrm>
                            <a:off x="0" y="0"/>
                            <a:ext cx="819150" cy="727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txbx>
                          <wne:txbxContent>
                            <w:p w14:paraId="7F7E34A6" w14:textId="286BBCFA" w:rsidR="00201838" w:rsidRDefault="00527DF0" w:rsidP="00201838">
                              <w:r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1258167B" wp14:editId="63A412A2">
                                    <wp:extent cx="638175" cy="638175"/>
                                    <wp:effectExtent l="0" t="0" r="0" b="0"/>
                                    <wp:docPr id="7" name="Grafik 12"/>
                                    <wp:cNvGraphicFramePr>
                                      <a:graphicFrameLocks xmlns:a="http://purl.oclc.org/ooxml/drawingml/main" noChangeAspect="1"/>
                                    </wp:cNvGraphicFramePr>
                                    <a:graphic xmlns:a="http://purl.oclc.org/ooxml/drawingml/main">
                                      <a:graphicData uri="http://purl.oclc.org/ooxml/drawingml/picture">
                                        <pic:pic xmlns:pic="http://purl.oclc.org/ooxml/drawingml/picture">
                                          <pic:nvPicPr>
                                            <pic:cNvPr id="0" name="Grafik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638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ne:txbxContent>
                        </wp:txbx>
                        <wp:bodyPr rot="0" vert="horz" wrap="none" lIns="91440" tIns="45720" rIns="91440" bIns="45720" anchor="t" anchorCtr="0" upright="1">
                          <a:sp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="00737922">
              <w:rPr>
                <w:rFonts w:ascii="Arial" w:hAnsi="Arial"/>
              </w:rPr>
              <w:t>VERHALTEN BEI UNFÄLLEN – ERSTE HILFE</w:t>
            </w:r>
          </w:p>
        </w:tc>
      </w:tr>
      <w:tr w:rsidR="00AE68D0" w14:paraId="7DDC4185" w14:textId="77777777">
        <w:trPr>
          <w:jc w:val="center"/>
        </w:trPr>
        <w:tc>
          <w:tcPr>
            <w:tcW w:w="68.05pt" w:type="dxa"/>
            <w:tcBorders>
              <w:top w:val="nil"/>
              <w:start w:val="single" w:sz="48" w:space="0" w:color="0000FF"/>
              <w:bottom w:val="nil"/>
            </w:tcBorders>
          </w:tcPr>
          <w:p w14:paraId="4E17F973" w14:textId="77777777" w:rsidR="00AE68D0" w:rsidRDefault="00AE68D0">
            <w:pPr>
              <w:spacing w:before="3.60pt" w:after="3.60pt"/>
              <w:ind w:start="2.85pt"/>
              <w:rPr>
                <w:rFonts w:ascii="Arial" w:hAnsi="Arial"/>
                <w:sz w:val="22"/>
              </w:rPr>
            </w:pPr>
          </w:p>
        </w:tc>
        <w:tc>
          <w:tcPr>
            <w:tcW w:w="474.30pt" w:type="dxa"/>
            <w:gridSpan w:val="5"/>
            <w:tcBorders>
              <w:top w:val="nil"/>
              <w:bottom w:val="nil"/>
              <w:end w:val="single" w:sz="48" w:space="0" w:color="0000FF"/>
            </w:tcBorders>
          </w:tcPr>
          <w:p w14:paraId="08C99DE0" w14:textId="77777777" w:rsidR="00AE68D0" w:rsidRDefault="00737922" w:rsidP="00F37B86">
            <w:pPr>
              <w:numPr>
                <w:ilvl w:val="0"/>
                <w:numId w:val="3"/>
              </w:numPr>
              <w:tabs>
                <w:tab w:val="clear" w:pos="22.70pt"/>
              </w:tabs>
              <w:spacing w:before="3.60pt"/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Ruhe bewahren.</w:t>
            </w:r>
          </w:p>
          <w:p w14:paraId="39BA5FD6" w14:textId="77777777" w:rsidR="00737922" w:rsidRDefault="00737922" w:rsidP="00F37B86">
            <w:pPr>
              <w:numPr>
                <w:ilvl w:val="0"/>
                <w:numId w:val="3"/>
              </w:numPr>
              <w:tabs>
                <w:tab w:val="clear" w:pos="22.70pt"/>
              </w:tabs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Ersthelfer heranziehen.</w:t>
            </w:r>
          </w:p>
          <w:p w14:paraId="3DFB56D4" w14:textId="77777777" w:rsidR="00737922" w:rsidRDefault="00737922" w:rsidP="00F37B86">
            <w:pPr>
              <w:numPr>
                <w:ilvl w:val="0"/>
                <w:numId w:val="3"/>
              </w:numPr>
              <w:tabs>
                <w:tab w:val="clear" w:pos="22.70pt"/>
              </w:tabs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Notruf: 112</w:t>
            </w:r>
          </w:p>
          <w:p w14:paraId="6E3EE4CB" w14:textId="77777777" w:rsidR="00737922" w:rsidRDefault="00737922" w:rsidP="00F37B86">
            <w:pPr>
              <w:numPr>
                <w:ilvl w:val="0"/>
                <w:numId w:val="3"/>
              </w:numPr>
              <w:tabs>
                <w:tab w:val="clear" w:pos="22.70pt"/>
              </w:tabs>
              <w:spacing w:after="3.60pt"/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Unfall melden.</w:t>
            </w:r>
          </w:p>
        </w:tc>
      </w:tr>
      <w:tr w:rsidR="00AE68D0" w14:paraId="440CD972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05CA7C3D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SACHGERECHTE ENTSORGUNG</w:t>
            </w:r>
          </w:p>
        </w:tc>
      </w:tr>
      <w:tr w:rsidR="00AE68D0" w14:paraId="79ECDBA1" w14:textId="77777777">
        <w:trPr>
          <w:jc w:val="center"/>
        </w:trPr>
        <w:tc>
          <w:tcPr>
            <w:tcW w:w="542.35pt" w:type="dxa"/>
            <w:gridSpan w:val="6"/>
            <w:tcBorders>
              <w:top w:val="nil"/>
              <w:start w:val="single" w:sz="48" w:space="0" w:color="0000FF"/>
              <w:bottom w:val="single" w:sz="48" w:space="0" w:color="0000FF"/>
              <w:end w:val="single" w:sz="48" w:space="0" w:color="0000FF"/>
            </w:tcBorders>
          </w:tcPr>
          <w:p w14:paraId="3BFEC77A" w14:textId="77777777" w:rsidR="00AE68D0" w:rsidRDefault="00737922" w:rsidP="00F37B86">
            <w:pPr>
              <w:numPr>
                <w:ilvl w:val="0"/>
                <w:numId w:val="4"/>
              </w:numPr>
              <w:tabs>
                <w:tab w:val="clear" w:pos="90.75pt"/>
              </w:tabs>
              <w:spacing w:before="3.60pt"/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Baustellenverantwortlicher </w:t>
            </w:r>
            <w:r w:rsidR="00F37B86">
              <w:rPr>
                <w:rFonts w:ascii="Arial" w:hAnsi="Arial"/>
                <w:sz w:val="22"/>
              </w:rPr>
              <w:t>überprüft</w:t>
            </w:r>
            <w:r>
              <w:rPr>
                <w:rFonts w:ascii="Arial" w:hAnsi="Arial"/>
                <w:sz w:val="22"/>
              </w:rPr>
              <w:t xml:space="preserve"> Gerüst arbeitstäglich vor Benutzung auf augenfällige Mängel und gibt es zur Benutzung frei.</w:t>
            </w:r>
          </w:p>
          <w:p w14:paraId="38375DBA" w14:textId="77777777" w:rsidR="00737922" w:rsidRDefault="00737922" w:rsidP="00F37B86">
            <w:pPr>
              <w:numPr>
                <w:ilvl w:val="0"/>
                <w:numId w:val="4"/>
              </w:numPr>
              <w:tabs>
                <w:tab w:val="clear" w:pos="90.75pt"/>
              </w:tabs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 Mängel festgestellt, sind diese dem Gerüsthersteller anzuzeigen.</w:t>
            </w:r>
          </w:p>
          <w:p w14:paraId="3F136A35" w14:textId="77777777" w:rsidR="00737922" w:rsidRDefault="00737922" w:rsidP="00F37B86">
            <w:pPr>
              <w:numPr>
                <w:ilvl w:val="0"/>
                <w:numId w:val="4"/>
              </w:numPr>
              <w:tabs>
                <w:tab w:val="clear" w:pos="90.75pt"/>
              </w:tabs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Gerüst darf bis zu deren Beseitigung nicht benutzt </w:t>
            </w:r>
            <w:r w:rsidR="00F37B86">
              <w:rPr>
                <w:rFonts w:ascii="Arial" w:hAnsi="Arial"/>
                <w:sz w:val="22"/>
              </w:rPr>
              <w:t>werden</w:t>
            </w:r>
            <w:r>
              <w:rPr>
                <w:rFonts w:ascii="Arial" w:hAnsi="Arial"/>
                <w:sz w:val="22"/>
              </w:rPr>
              <w:t>.</w:t>
            </w:r>
          </w:p>
          <w:p w14:paraId="66DE5196" w14:textId="77777777" w:rsidR="00737922" w:rsidRDefault="00737922" w:rsidP="00F37B86">
            <w:pPr>
              <w:numPr>
                <w:ilvl w:val="0"/>
                <w:numId w:val="4"/>
              </w:numPr>
              <w:tabs>
                <w:tab w:val="clear" w:pos="90.75pt"/>
              </w:tabs>
              <w:spacing w:after="3.60pt"/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Gerüst darf nur vom Gerüsthersteller verändert werden.</w:t>
            </w:r>
          </w:p>
        </w:tc>
      </w:tr>
    </w:tbl>
    <w:p w14:paraId="0EB29E29" w14:textId="77777777" w:rsidR="00AE68D0" w:rsidRDefault="00AE68D0">
      <w:pPr>
        <w:rPr>
          <w:rFonts w:ascii="Arial" w:hAnsi="Arial"/>
        </w:rPr>
      </w:pPr>
    </w:p>
    <w:sectPr w:rsidR="00AE68D0" w:rsidSect="00F37B86">
      <w:pgSz w:w="595.30pt" w:h="841.90pt"/>
      <w:pgMar w:top="42.55pt" w:right="34pt" w:bottom="28.35pt" w:left="34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BF2307"/>
    <w:multiLevelType w:val="hybridMultilevel"/>
    <w:tmpl w:val="F600151C"/>
    <w:lvl w:ilvl="0" w:tplc="8DA8E03A">
      <w:start w:val="1"/>
      <w:numFmt w:val="bullet"/>
      <w:lvlText w:val=""/>
      <w:lvlJc w:val="start"/>
      <w:pPr>
        <w:tabs>
          <w:tab w:val="num" w:pos="22.70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7C557DD"/>
    <w:multiLevelType w:val="hybridMultilevel"/>
    <w:tmpl w:val="E57C86AA"/>
    <w:lvl w:ilvl="0" w:tplc="8DA8E03A">
      <w:start w:val="1"/>
      <w:numFmt w:val="bullet"/>
      <w:lvlText w:val=""/>
      <w:lvlJc w:val="start"/>
      <w:pPr>
        <w:tabs>
          <w:tab w:val="num" w:pos="90.75pt"/>
        </w:tabs>
        <w:ind w:start="85.90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40.05pt"/>
        </w:tabs>
        <w:ind w:start="140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6.05pt"/>
        </w:tabs>
        <w:ind w:start="176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2.05pt"/>
        </w:tabs>
        <w:ind w:start="212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8.05pt"/>
        </w:tabs>
        <w:ind w:start="248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4.05pt"/>
        </w:tabs>
        <w:ind w:start="284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20.05pt"/>
        </w:tabs>
        <w:ind w:start="320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6.05pt"/>
        </w:tabs>
        <w:ind w:start="356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2.05pt"/>
        </w:tabs>
        <w:ind w:start="392.05pt" w:hanging="18pt"/>
      </w:pPr>
      <w:rPr>
        <w:rFonts w:ascii="Wingdings" w:hAnsi="Wingdings" w:hint="default"/>
      </w:rPr>
    </w:lvl>
  </w:abstractNum>
  <w:abstractNum w:abstractNumId="2" w15:restartNumberingAfterBreak="0">
    <w:nsid w:val="298D4C43"/>
    <w:multiLevelType w:val="hybridMultilevel"/>
    <w:tmpl w:val="EABE2008"/>
    <w:lvl w:ilvl="0" w:tplc="8DA8E03A">
      <w:start w:val="1"/>
      <w:numFmt w:val="bullet"/>
      <w:lvlText w:val=""/>
      <w:lvlJc w:val="start"/>
      <w:pPr>
        <w:tabs>
          <w:tab w:val="num" w:pos="90.75pt"/>
        </w:tabs>
        <w:ind w:start="85.90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40.05pt"/>
        </w:tabs>
        <w:ind w:start="140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6.05pt"/>
        </w:tabs>
        <w:ind w:start="176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2.05pt"/>
        </w:tabs>
        <w:ind w:start="212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8.05pt"/>
        </w:tabs>
        <w:ind w:start="248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4.05pt"/>
        </w:tabs>
        <w:ind w:start="284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20.05pt"/>
        </w:tabs>
        <w:ind w:start="320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6.05pt"/>
        </w:tabs>
        <w:ind w:start="356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2.05pt"/>
        </w:tabs>
        <w:ind w:start="392.05pt" w:hanging="18pt"/>
      </w:pPr>
      <w:rPr>
        <w:rFonts w:ascii="Wingdings" w:hAnsi="Wingdings" w:hint="default"/>
      </w:rPr>
    </w:lvl>
  </w:abstractNum>
  <w:abstractNum w:abstractNumId="3" w15:restartNumberingAfterBreak="0">
    <w:nsid w:val="2A9C6936"/>
    <w:multiLevelType w:val="hybridMultilevel"/>
    <w:tmpl w:val="0ABC11E6"/>
    <w:lvl w:ilvl="0" w:tplc="8DA8E03A">
      <w:start w:val="1"/>
      <w:numFmt w:val="bullet"/>
      <w:lvlText w:val=""/>
      <w:lvlJc w:val="start"/>
      <w:pPr>
        <w:tabs>
          <w:tab w:val="num" w:pos="22.70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 w16cid:durableId="600837135">
    <w:abstractNumId w:val="2"/>
  </w:num>
  <w:num w:numId="2" w16cid:durableId="1397971162">
    <w:abstractNumId w:val="3"/>
  </w:num>
  <w:num w:numId="3" w16cid:durableId="1297028643">
    <w:abstractNumId w:val="0"/>
  </w:num>
  <w:num w:numId="4" w16cid:durableId="111942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autoHyphenation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D"/>
    <w:rsid w:val="0014476E"/>
    <w:rsid w:val="00201838"/>
    <w:rsid w:val="00276A73"/>
    <w:rsid w:val="002F205F"/>
    <w:rsid w:val="004B7896"/>
    <w:rsid w:val="004D6F7D"/>
    <w:rsid w:val="00527DF0"/>
    <w:rsid w:val="00585B87"/>
    <w:rsid w:val="00696B96"/>
    <w:rsid w:val="00737922"/>
    <w:rsid w:val="0086125D"/>
    <w:rsid w:val="00943D65"/>
    <w:rsid w:val="00A729C5"/>
    <w:rsid w:val="00AE68D0"/>
    <w:rsid w:val="00BC0AA1"/>
    <w:rsid w:val="00C6209B"/>
    <w:rsid w:val="00CA0A9A"/>
    <w:rsid w:val="00CE59DB"/>
    <w:rsid w:val="00D26CFA"/>
    <w:rsid w:val="00D32365"/>
    <w:rsid w:val="00D61285"/>
    <w:rsid w:val="00DB474F"/>
    <w:rsid w:val="00F22087"/>
    <w:rsid w:val="00F3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122B08B"/>
  <w15:chartTrackingRefBased/>
  <w15:docId w15:val="{E2557A03-FD89-4765-92C6-66CE63B63BB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p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6pt" w:after="6pt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6pt" w:after="6pt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6pt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2.png"/><Relationship Id="rId12" Type="http://purl.oclc.org/ooxml/officeDocument/relationships/image" Target="media/image6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oleObject" Target="embeddings/oleObject1.bin"/><Relationship Id="rId11" Type="http://purl.oclc.org/ooxml/officeDocument/relationships/image" Target="media/image5.png"/><Relationship Id="rId5" Type="http://purl.oclc.org/ooxml/officeDocument/relationships/image" Target="media/image1.png"/><Relationship Id="rId10" Type="http://purl.oclc.org/ooxml/officeDocument/relationships/oleObject" Target="embeddings/oleObject2.bin"/><Relationship Id="rId4" Type="http://purl.oclc.org/ooxml/officeDocument/relationships/webSettings" Target="webSettings.xml"/><Relationship Id="rId9" Type="http://purl.oclc.org/ooxml/officeDocument/relationships/image" Target="media/image4.png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>EDELBG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subject/>
  <dc:creator>A0TAART</dc:creator>
  <cp:keywords/>
  <dc:description/>
  <cp:lastModifiedBy>Schmid, Wolfram, BGHM</cp:lastModifiedBy>
  <cp:revision>3</cp:revision>
  <cp:lastPrinted>2006-11-29T09:16:00Z</cp:lastPrinted>
  <dcterms:created xsi:type="dcterms:W3CDTF">2023-02-22T12:51:00Z</dcterms:created>
  <dcterms:modified xsi:type="dcterms:W3CDTF">2023-02-22T13:05:00Z</dcterms:modified>
</cp:coreProperties>
</file>