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ce0147f7-dc65-4939-bd5b-049aa83a0c4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ce0147f7-dc65-4939-bd5b-049aa83a0c4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ce0147f7-dc65-4939-bd5b-049aa83a0c4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ce0147f7-dc65-4939-bd5b-049aa83a0c4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ce0147f7-dc65-4939-bd5b-049aa83a0c4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ce0147f7-dc65-4939-bd5b-049aa83a0c4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ce0147f7-dc65-4939-bd5b-049aa83a0c4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ce0147f7-dc65-4939-bd5b-049aa83a0c4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ce0147f7-dc65-4939-bd5b-049aa83a0c4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ce0147f7-dc65-4939-bd5b-049aa83a0c4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ce0147f7-dc65-4939-bd5b-049aa83a0c4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f2ba3bdb9a04dd0" /></Relationships>
</file>

<file path=customXML/item7.xml><?xml version="1.0" encoding="utf-8"?>
<!--Generiert am 13.12.2023 23:24:5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Arbeiten am Fahrzeug erst nach Sicherung mit Unterstellböcken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ausreichend tragfähigem und ebenem Untergrund aufstellen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Betriebsmittel an den von den Fahrzeugherstellern vorgesehenen Ansatzpunkten abstützen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Betriebsmittel mit entsprechender Tragfähigkeit und Standfestigkeit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Wagenheber/Heberoller</Arbeitsblatt_MAG>
  <Arbeitsblatt_Name>Wagenheber/Heberoller</Arbeitsblatt_Name>
</ArbeitsblattContext>
</file>

<file path=customXML/itemProps7.xml><?xml version="1.0" encoding="utf-8"?>
<ds:datastoreItem xmlns:ds="http://schemas.openxmlformats.org/officeDocument/2006/customXml" ds:itemID="{ce0147f7-dc65-4939-bd5b-049aa83a0c4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