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44e14b0-6a28-470a-8fe3-c603a260ab7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44e14b0-6a28-470a-8fe3-c603a260ab7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44e14b0-6a28-470a-8fe3-c603a260ab7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44e14b0-6a28-470a-8fe3-c603a260ab7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44e14b0-6a28-470a-8fe3-c603a260ab7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44e14b0-6a28-470a-8fe3-c603a260ab7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44e14b0-6a28-470a-8fe3-c603a260ab7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44e14b0-6a28-470a-8fe3-c603a260ab7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44e14b0-6a28-470a-8fe3-c603a260ab7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44e14b0-6a28-470a-8fe3-c603a260ab7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44e14b0-6a28-470a-8fe3-c603a260ab7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609d58b70aa4c08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unterhalb der Förderebene durch Umzäunung mit elektrisch verriegelten Zugangstür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 der oberen Umlenkung, die von oberhalb der Förderebene erreicht werden können, durch eine Einzelgefahrstellensicherung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 der unteren Umlenkung, die von oberhalb der Förderebene erreicht werden können, entweder durch eine Einzelgefahrstellensicherung oder durch eine Gefahrbereichssicherung oberhalb der Förderebene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Vereinzelner für Schnittholz</Arbeitsblatt_MAG>
  <Arbeitsblatt_Name>Vereinzelner für Schnittholz</Arbeitsblatt_Name>
</ArbeitsblattContext>
</file>

<file path=customXML/itemProps7.xml><?xml version="1.0" encoding="utf-8"?>
<ds:datastoreItem xmlns:ds="http://schemas.openxmlformats.org/officeDocument/2006/customXml" ds:itemID="{244e14b0-6a28-470a-8fe3-c603a260ab7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