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af0acc0-bb3d-4d6c-93f0-b8823de733d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af0acc0-bb3d-4d6c-93f0-b8823de733d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af0acc0-bb3d-4d6c-93f0-b8823de733d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af0acc0-bb3d-4d6c-93f0-b8823de733d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af0acc0-bb3d-4d6c-93f0-b8823de733d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af0acc0-bb3d-4d6c-93f0-b8823de733d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af0acc0-bb3d-4d6c-93f0-b8823de733d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af0acc0-bb3d-4d6c-93f0-b8823de733d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af0acc0-bb3d-4d6c-93f0-b8823de733d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af0acc0-bb3d-4d6c-93f0-b8823de733d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af0acc0-bb3d-4d6c-93f0-b8823de733d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de7d6b827424d50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Stapelung des Holzes in der Trockenkammer so ausführen, dass die Stapel durch Verformungen während der Trocknung nicht umfallen bzw. gegen die Tür oder Wände kippen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Anlagen mit einer zugänglichen Fluchttür ausstatten, die von innen erreichbar und zu öffnen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Klima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Öffnen und Schließen der Türen auf den korrekten Sitz der Halterungen und die korrekte Betätigung der Öffnungs- und Schließmechanismen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Trockenkammer für Schnittholz</Arbeitsblatt_MAG>
  <Arbeitsblatt_Name>Trockenkammer für Schnittholz</Arbeitsblatt_Name>
</ArbeitsblattContext>
</file>

<file path=customXML/itemProps7.xml><?xml version="1.0" encoding="utf-8"?>
<ds:datastoreItem xmlns:ds="http://schemas.openxmlformats.org/officeDocument/2006/customXml" ds:itemID="{4af0acc0-bb3d-4d6c-93f0-b8823de733d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