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19cccecd-a52b-4941-bb7c-ebee373e9081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19cccecd-a52b-4941-bb7c-ebee373e9081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19cccecd-a52b-4941-bb7c-ebee373e9081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19cccecd-a52b-4941-bb7c-ebee373e9081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19cccecd-a52b-4941-bb7c-ebee373e9081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19cccecd-a52b-4941-bb7c-ebee373e9081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19cccecd-a52b-4941-bb7c-ebee373e9081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19cccecd-a52b-4941-bb7c-ebee373e9081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19cccecd-a52b-4941-bb7c-ebee373e9081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19cccecd-a52b-4941-bb7c-ebee373e9081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19cccecd-a52b-4941-bb7c-ebee373e9081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42d2b71e63d748e4" /></Relationships>
</file>

<file path=customXML/item7.xml><?xml version="1.0" encoding="utf-8"?>
<!--Generiert am 13.12.2023 23:24:55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Neuanschaffung schwingungsarme Geräte bevorzugen. Einsatzzeit begrenzen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Hand-Arm-Vibrationen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und unterwiesene Beschäftigte, die mindestens 18 Jahre alt sind. Ausnahme: Im Rahmen der Ausbildung zur Erreichung des Ausbildungsziels erforderlich (siehe Ausbildungsrahmenplan) und unter Aufsicht (Ausnahme: Stichsäge)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Maschine, die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Maschine beidhändig 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Einstechschnitte nur mit voller Hubzahl und möglichst kurzem Sägeblatt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Eng anliegende Kleidung tragen, kein Schmuck 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Lange Haare unter Haarnetz verbergen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Maschine erst nach Stillstand aus dem Werkstück entfernen und sicher ablegen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Werkstücke bei der Bearbeitung fixieren (z. B. mit Schnellspannzwingen)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Schutzabdeckung der Stichsäge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Stichsäge/Säbelsäge</Arbeitsblatt_MAG>
  <Arbeitsblatt_Name>Stichsäge/Säbelsäge</Arbeitsblatt_Name>
</ArbeitsblattContext>
</file>

<file path=customXML/itemProps7.xml><?xml version="1.0" encoding="utf-8"?>
<ds:datastoreItem xmlns:ds="http://schemas.openxmlformats.org/officeDocument/2006/customXml" ds:itemID="{19cccecd-a52b-4941-bb7c-ebee373e9081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