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888a9fd-0338-4d23-8d4c-a894e2c1f82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888a9fd-0338-4d23-8d4c-a894e2c1f82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888a9fd-0338-4d23-8d4c-a894e2c1f82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888a9fd-0338-4d23-8d4c-a894e2c1f82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888a9fd-0338-4d23-8d4c-a894e2c1f82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888a9fd-0338-4d23-8d4c-a894e2c1f82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888a9fd-0338-4d23-8d4c-a894e2c1f82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888a9fd-0338-4d23-8d4c-a894e2c1f82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888a9fd-0338-4d23-8d4c-a894e2c1f82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888a9fd-0338-4d23-8d4c-a894e2c1f82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888a9fd-0338-4d23-8d4c-a894e2c1f82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8a1729f0d374951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Geeigneter Aufstellungsort bzw. brennbare oder entzündliche Gegenstände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Während der Schlüsselbearbeitung Gehörschutz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Vollgekapselte Maschinen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Betriebs- und Aufstellangaben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Gekapselte Maschinen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Werkstück- und Werkzeugwechsel nur bei ausgeschalteter Maschine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Handbindung durch Bedienelemente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Metallspäne nicht wegblasen, sondern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fest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Werkzeugwechsel Schnittschutzhandschuhe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Insbesondere bei der Nacharbeit mit Bürstwerkzeugen 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 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Schlüsselschleif-/Fräsmaschinen</Arbeitsblatt_MAG>
  <Arbeitsblatt_Name>Schlüsselschleif-/Fräsmaschinen</Arbeitsblatt_Name>
</ArbeitsblattContext>
</file>

<file path=customXML/itemProps7.xml><?xml version="1.0" encoding="utf-8"?>
<ds:datastoreItem xmlns:ds="http://schemas.openxmlformats.org/officeDocument/2006/customXml" ds:itemID="{c888a9fd-0338-4d23-8d4c-a894e2c1f82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