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d7e1bd2-fb69-4f28-9913-bce073a881f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d7e1bd2-fb69-4f28-9913-bce073a881f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d7e1bd2-fb69-4f28-9913-bce073a881f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d7e1bd2-fb69-4f28-9913-bce073a881f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d7e1bd2-fb69-4f28-9913-bce073a881f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d7e1bd2-fb69-4f28-9913-bce073a881f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d7e1bd2-fb69-4f28-9913-bce073a881f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7e1bd2-fb69-4f28-9913-bce073a881f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7e1bd2-fb69-4f28-9913-bce073a881f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7e1bd2-fb69-4f28-9913-bce073a881f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7e1bd2-fb69-4f28-9913-bce073a881f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2f5306e90a549fc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Geeigneter Aufstellungsort bzw. brennbare Gegenstände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Funkenkasten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Betriebs- und Aufstellangaben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Schärfgerät fest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Atemschutz 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Schärfen von Sägeketten</Arbeitsblatt_MAG>
  <Arbeitsblatt_Name>Schärfen von Sägeketten</Arbeitsblatt_Name>
</ArbeitsblattContext>
</file>

<file path=customXML/itemProps7.xml><?xml version="1.0" encoding="utf-8"?>
<ds:datastoreItem xmlns:ds="http://schemas.openxmlformats.org/officeDocument/2006/customXml" ds:itemID="{9d7e1bd2-fb69-4f28-9913-bce073a881f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