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c68f886d-d635-4ae7-93ec-82e830156f6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c68f886d-d635-4ae7-93ec-82e830156f6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c68f886d-d635-4ae7-93ec-82e830156f6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c68f886d-d635-4ae7-93ec-82e830156f6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c68f886d-d635-4ae7-93ec-82e830156f6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c68f886d-d635-4ae7-93ec-82e830156f6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c68f886d-d635-4ae7-93ec-82e830156f6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68f886d-d635-4ae7-93ec-82e830156f6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68f886d-d635-4ae7-93ec-82e830156f6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68f886d-d635-4ae7-93ec-82e830156f6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68f886d-d635-4ae7-93ec-82e830156f6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990cce43d05e4029" /></Relationships>
</file>

<file path=customXML/item7.xml><?xml version="1.0" encoding="utf-8"?>
<!--Generiert am 13.12.2023 23:25:0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Behördliche Anzeigepflicht für den Betrieb von Rückkühlwerken beachten (gem. 42. BImSchV)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Verunreinigung des Nutzwassers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Gefährdungsbeurteilung durch hygienisch fachkundige Person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Mindestens zweiwöchentlich betriebsintern chemische, physikalische und mikrobiologische Kenngrößen der hygienischen Beschaffenheit des Nutzwassers überprüfen (gem. VDI 2047)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Laboruntersuchungen (allgemeine Koloniezahl)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Überschreitung des Referenzwertes Ursachenermittlung und Sofortmaßnahmen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Überschreitung des Referenzwertes Laboruntersuchungen (Legionellen)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Überschreitung der Prüf-/Maßnahmenwerte notwendige Maßnahmen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Überschreitung des Maßnahmenwerts unverzüglich die zuständige Behörde informieren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Betriebstagebuch 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ausreichende Durchlüftung des Arbeitsbereiches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Schutzhandschuhe (z. B. wasserdichte Handschuhe aus Nitril)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Arbeitskleidung, bei Möglichkeit der Durchnässung wasserdichte Einwegschutzkleidung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Je nach Staub- und Aerosolentwicklung Atemschutz Schutzklasse P2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Essen, Trinken, Rauchen in den kontaminierten Arbeitsbereichen verbieten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Aerosolen: Atemschutz entsprechend der Gefährdung auswählen (z. B. Partikelfilter min. P2) und anwenden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vor Beginn der Instandhaltungsmaßnahmen unterweisen, zudem regelmäßig,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Mögliche Infektionsgefahr beachten, Werkstücke ggf. vor Beginn der Arbeiten desinfizieren, Arbeitsmittel nach Abschluss der Arbeiten desinfizieren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Infektionen, sensibilisierende Wirkung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Rückkühlwerke</Arbeitsblatt_MAG>
  <Arbeitsblatt_Name>Rückkühlwerke</Arbeitsblatt_Name>
</ArbeitsblattContext>
</file>

<file path=customXML/itemProps7.xml><?xml version="1.0" encoding="utf-8"?>
<ds:datastoreItem xmlns:ds="http://schemas.openxmlformats.org/officeDocument/2006/customXml" ds:itemID="{c68f886d-d635-4ae7-93ec-82e830156f6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