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ceb414e-1da7-436d-adfa-03f458d206b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ceb414e-1da7-436d-adfa-03f458d206b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ceb414e-1da7-436d-adfa-03f458d206b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ceb414e-1da7-436d-adfa-03f458d206b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ceb414e-1da7-436d-adfa-03f458d206b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ceb414e-1da7-436d-adfa-03f458d206b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ceb414e-1da7-436d-adfa-03f458d206b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ceb414e-1da7-436d-adfa-03f458d206b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ceb414e-1da7-436d-adfa-03f458d206b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ceb414e-1da7-436d-adfa-03f458d206b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ceb414e-1da7-436d-adfa-03f458d206b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e36d5c5bd1e347c1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Verwendung von Anbauteilen (z. B. Rundholzzange, Leichtgutschaufel, Hochkippeinrichtung, etc.) Sichtfeld (Nahbereich UND am Kreis mit 12-m-Radius) überprüfen. Siehe Fachbereich Aktuell Nr. 109 "Radlader mit Leichtgutschaufel"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festgestellten Sichtfeldeinschränkungen Kamera-Monitor-System für Vorwärts- und Rückwärtsfahrt nachrüsten (lassen). Auf ergonomische Monitorgröße und -position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Frontscheinwerfer am Radlader so montieren, dass keine Blendung des Fahrers an der Rückseite des Anbauteils erfolgen kann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Fahrwege für Radlader festlegen und nach Möglichkeit von anderen Verkehrswegen abtrennen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Verpflichtung zum Tragen von Warnwesten für Fußgänger, Radfahrer. Auch für betriebsfremde Personen, insbesondere LKW-Fahrer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freie Sicht für Radladerfahrer achten: Hohe Hindernisse (z. B. LKW) an Verkehrswegen vermeiden, Fahrwege nicht direkt an Gebäuden entlangführen. Kreuzungsbereiche frei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Maximale Ladehöhe für Leichtgutschaufeln und Rundholzzangen festlegen, unterweisen und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Scheinwerfer und Sichthilfen regelmäßig nach Herstellerangabe reinigen. Kratzer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Ausbildung der Fahrer veranlassen (analog Flurförderzeuge), schriftliche Beauftragung und jährliche Unterweisung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Einweisung für jeden Radladertyp erforderlich (Schulung durch Hersteller oder anhand Bedienungsanleitung)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Befahren von Spänelagern auf ausreichenden Randabstand und ausreichende Verdichtung des Untergrundes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Standplätze mit Haltegriffen für Reinigung von Scheiben und Kameras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Beschädigte oder abgenutzte Trittstufen und Haltegriffe erneuern, bzw. instandsetzen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Radlader</Arbeitsblatt_MAG>
  <Arbeitsblatt_Name>Radlader</Arbeitsblatt_Name>
</ArbeitsblattContext>
</file>

<file path=customXML/itemProps7.xml><?xml version="1.0" encoding="utf-8"?>
<ds:datastoreItem xmlns:ds="http://schemas.openxmlformats.org/officeDocument/2006/customXml" ds:itemID="{dceb414e-1da7-436d-adfa-03f458d206b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