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fe7599a-4c00-4686-bc05-1847100e2a8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fe7599a-4c00-4686-bc05-1847100e2a8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fe7599a-4c00-4686-bc05-1847100e2a8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fe7599a-4c00-4686-bc05-1847100e2a8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fe7599a-4c00-4686-bc05-1847100e2a8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fe7599a-4c00-4686-bc05-1847100e2a8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fe7599a-4c00-4686-bc05-1847100e2a8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fe7599a-4c00-4686-bc05-1847100e2a8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fe7599a-4c00-4686-bc05-1847100e2a8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fe7599a-4c00-4686-bc05-1847100e2a8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fe7599a-4c00-4686-bc05-1847100e2a8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487bdef5a514402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Sicherheitslichtschranken in der Durchlassöffnung einsetzen (in der Regel in einer Höhe von 40 und 90 cm über der Förderebene)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Querförderer</Arbeitsblatt_MAG>
  <Arbeitsblatt_Name>Querförderer</Arbeitsblatt_Name>
</ArbeitsblattContext>
</file>

<file path=customXML/itemProps7.xml><?xml version="1.0" encoding="utf-8"?>
<ds:datastoreItem xmlns:ds="http://schemas.openxmlformats.org/officeDocument/2006/customXml" ds:itemID="{5fe7599a-4c00-4686-bc05-1847100e2a8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