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36628f0-8c49-444d-9801-25b4e40037b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36628f0-8c49-444d-9801-25b4e40037b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36628f0-8c49-444d-9801-25b4e40037b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36628f0-8c49-444d-9801-25b4e40037b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36628f0-8c49-444d-9801-25b4e40037b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36628f0-8c49-444d-9801-25b4e40037b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36628f0-8c49-444d-9801-25b4e40037b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36628f0-8c49-444d-9801-25b4e40037b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36628f0-8c49-444d-9801-25b4e40037b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36628f0-8c49-444d-9801-25b4e40037b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36628f0-8c49-444d-9801-25b4e40037b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6f69b62dc1441a4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Verdeckungen von Quetsch- oder Scherstellen durch Auswerfer oder ähnliche Förderelemente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durch die Verkleidung der Kettenauflauf- und Scherstellen oder durch Abdeckung der Fördereinrichtungen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m, insbesondere im Bereich der Abwurftische,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Längssortierförderer für Schnittholz</Arbeitsblatt_MAG>
  <Arbeitsblatt_Name>Längssortierförderer für Schnittholz</Arbeitsblatt_Name>
</ArbeitsblattContext>
</file>

<file path=customXML/itemProps7.xml><?xml version="1.0" encoding="utf-8"?>
<ds:datastoreItem xmlns:ds="http://schemas.openxmlformats.org/officeDocument/2006/customXml" ds:itemID="{436628f0-8c49-444d-9801-25b4e40037b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