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df7d45d-44b6-4983-8434-eb6a325872b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df7d45d-44b6-4983-8434-eb6a325872b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df7d45d-44b6-4983-8434-eb6a325872b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df7d45d-44b6-4983-8434-eb6a325872b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df7d45d-44b6-4983-8434-eb6a325872b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df7d45d-44b6-4983-8434-eb6a325872b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df7d45d-44b6-4983-8434-eb6a325872b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df7d45d-44b6-4983-8434-eb6a325872b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df7d45d-44b6-4983-8434-eb6a325872b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df7d45d-44b6-4983-8434-eb6a325872b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df7d45d-44b6-4983-8434-eb6a325872b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c49f5e3d6ec4ccb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Arbeitstägliche Sichtprüfung der Gelenkarmsicherung und Abrollsicherung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Arbeitstägliche Sichtprüfung der Gummiauflagen von Tragteller durchführen ggf. erneuern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Auffahrträgern Handbremse anziehen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Fahrzeug wird nur an den vom Hersteller vorgesehenen Punkten aufgenommen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Bedienperson beobachtet die Last und das Lastaufnahmemittel bei allen Bewegungen und achtet auf die Sicherheit anderer Personen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Gelenkarme sind gegen unbeabsichtigte Bewegungen mit zwangsläufig wirksamen Sicherungen ausgerüstet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Steuerung ist so angebracht, dass die Bedienperson nicht gefährdet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Tragfähigkeit und Lastverteilungsangaben sind beachtet und dauerhaft gut lesbar am Gerät angebracht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werden nur sichere Hebebühnen betrieben, die der DIN EN 1493 "Fahrzeughebebühnen", bzw. bei Baujahren vor 1994, den Beschaffungsanforderungen der VBG 14 "Hebebühnen" entsprechen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Kfz bei Schwerpunktverlagerung durch Ausbau schwerer Aggregate verzurren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Abweiser (120 mm hoch-150 mm tief) oder Schaltleisten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Absenken Gefahrenbereich beobachten, Totmannschaltung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durch Schaltleiste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durch Tippbetrieb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Während des Hub- oder Senkvorganges ist der Aufenthalt unter dem Fahrzeug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Tägliche Sicht- und Funktionsprüfung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Hebebühne</Arbeitsblatt_MAG>
  <Arbeitsblatt_Name>Hebebühne</Arbeitsblatt_Name>
</ArbeitsblattContext>
</file>

<file path=customXML/itemProps7.xml><?xml version="1.0" encoding="utf-8"?>
<ds:datastoreItem xmlns:ds="http://schemas.openxmlformats.org/officeDocument/2006/customXml" ds:itemID="{ddf7d45d-44b6-4983-8434-eb6a325872b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