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2167ee1-dc95-4681-88d4-556243abf25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2167ee1-dc95-4681-88d4-556243abf25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2167ee1-dc95-4681-88d4-556243abf25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2167ee1-dc95-4681-88d4-556243abf25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2167ee1-dc95-4681-88d4-556243abf25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2167ee1-dc95-4681-88d4-556243abf25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2167ee1-dc95-4681-88d4-556243abf25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2167ee1-dc95-4681-88d4-556243abf25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2167ee1-dc95-4681-88d4-556243abf25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2167ee1-dc95-4681-88d4-556243abf25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2167ee1-dc95-4681-88d4-556243abf25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556fd39308a42a4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und in der Maschine (z. B. Wartungs- und Instandhaltungsarbeiten und Störungsbeseitigung) darf die Anlage nur im Tippbetrieb betrieben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verriegelter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Vollflächige Entsorgung unterhalb der Förderebene, um Reinigungsarbeiten im Gefahrbereich zu vermeiden (z. B. Kratzförderer oder Leistenförderer)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Bauliche Einrichtungen, wie z. B. stabile Beton- oder Spundwände als Begrenzung errichten, die das Rundholz zurückhalten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an und in der Maschine (z. B. Wartungs- und Instandhaltungsarbeiten und Störungsbeseitigung) darf die Anlage nur im Tippbetrieb betrieben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verriegelter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Vollflächige Entsorgung unterhalb der Förderebene, um Reinigungsarbeiten im Gefahrbereich zu vermeiden (z. B. Kratzförderer oder Leistenförderer)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Fallstufe, Vereinzelner/Stammeinleger</Arbeitsblatt_MAG>
  <Arbeitsblatt_Name>Fallstufe, Vereinzelner/Stammeinleger</Arbeitsblatt_Name>
</ArbeitsblattContext>
</file>

<file path=customXML/itemProps7.xml><?xml version="1.0" encoding="utf-8"?>
<ds:datastoreItem xmlns:ds="http://schemas.openxmlformats.org/officeDocument/2006/customXml" ds:itemID="{12167ee1-dc95-4681-88d4-556243abf25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