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60e3d68f-eba0-4ee5-b926-2ae2ef86e195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60e3d68f-eba0-4ee5-b926-2ae2ef86e195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60e3d68f-eba0-4ee5-b926-2ae2ef86e195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60e3d68f-eba0-4ee5-b926-2ae2ef86e195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60e3d68f-eba0-4ee5-b926-2ae2ef86e195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60e3d68f-eba0-4ee5-b926-2ae2ef86e195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60e3d68f-eba0-4ee5-b926-2ae2ef86e195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0e3d68f-eba0-4ee5-b926-2ae2ef86e195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0e3d68f-eba0-4ee5-b926-2ae2ef86e195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0e3d68f-eba0-4ee5-b926-2ae2ef86e195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0e3d68f-eba0-4ee5-b926-2ae2ef86e195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317881aff3ee4032" /></Relationships>
</file>

<file path=customXML/item7.xml><?xml version="1.0" encoding="utf-8"?>
<!--Generiert am 13.12.2023 23:25:0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Ergonomische Gestaltung der Arbeitsplätze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Zwangshaltung (erzwungene Körperhaltung)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den Fahrradtyp abgestimmte Fahrradreparaturständer/Fahrradhebeeinrichtung verwenden und diese sicher befestigen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festen Sitz im geeigneten Aufnahmemittel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Fahrradreparaturständer/Fahrradhebeeinrichtung nicht über die zulässige Höchstlast beanspruchen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Motorisch betriebene Fahrradhebeeinrichtungen für die Montage bzw. Wartung von E-Bikes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Heben, Halten, Tragen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Absenken Gefahrenbereich beobachten, Totmannschaltung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Wenn die Fahrradhebeeinrichtung nicht gebraucht wird, den Greifarm aus dem Arbeitsbereich hochfahren oder wegklappen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Fahrradreparaturständer/Fahrradhebeeinrichtung</Arbeitsblatt_MAG>
  <Arbeitsblatt_Name>Fahrradreparaturständer/Fahrradhebeeinrichtung</Arbeitsblatt_Name>
</ArbeitsblattContext>
</file>

<file path=customXML/itemProps7.xml><?xml version="1.0" encoding="utf-8"?>
<ds:datastoreItem xmlns:ds="http://schemas.openxmlformats.org/officeDocument/2006/customXml" ds:itemID="{60e3d68f-eba0-4ee5-b926-2ae2ef86e195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