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dc7320a-0ffc-4e5d-9d32-588a9adbf67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dc7320a-0ffc-4e5d-9d32-588a9adbf67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dc7320a-0ffc-4e5d-9d32-588a9adbf67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dc7320a-0ffc-4e5d-9d32-588a9adbf67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dc7320a-0ffc-4e5d-9d32-588a9adbf67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dc7320a-0ffc-4e5d-9d32-588a9adbf67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dc7320a-0ffc-4e5d-9d32-588a9adbf67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dc7320a-0ffc-4e5d-9d32-588a9adbf67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dc7320a-0ffc-4e5d-9d32-588a9adbf67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dc7320a-0ffc-4e5d-9d32-588a9adbf67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dc7320a-0ffc-4e5d-9d32-588a9adbf67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619fa7487af4b67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Neuanschaffung schwingungsarme Geräte bevorzugen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Benutzungsdauer der Geräte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Vibrationsdämpfende 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Druckluftschrauber</Arbeitsblatt_MAG>
  <Arbeitsblatt_Name>Druckluftschrauber</Arbeitsblatt_Name>
</ArbeitsblattContext>
</file>

<file path=customXML/itemProps7.xml><?xml version="1.0" encoding="utf-8"?>
<ds:datastoreItem xmlns:ds="http://schemas.openxmlformats.org/officeDocument/2006/customXml" ds:itemID="{8dc7320a-0ffc-4e5d-9d32-588a9adbf67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