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8f37de89-3d49-42c8-a4b7-855b94e550ae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8f37de89-3d49-42c8-a4b7-855b94e550ae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8f37de89-3d49-42c8-a4b7-855b94e550ae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8f37de89-3d49-42c8-a4b7-855b94e550ae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8f37de89-3d49-42c8-a4b7-855b94e550ae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8f37de89-3d49-42c8-a4b7-855b94e550ae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8f37de89-3d49-42c8-a4b7-855b94e550ae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f37de89-3d49-42c8-a4b7-855b94e550ae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f37de89-3d49-42c8-a4b7-855b94e550ae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f37de89-3d49-42c8-a4b7-855b94e550ae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f37de89-3d49-42c8-a4b7-855b94e550ae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8370f8c9fdc949f3" /></Relationships>
</file>

<file path=customXML/item7.xml><?xml version="1.0" encoding="utf-8"?>
<!--Generiert am 13.12.2023 23:25:00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Werkstücke fest einspannen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Eingriff in Schneidebene (z. B. durch Zweihandschaltung, ortsbindende Befehlseinrichtung) verhindern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Das Werkzeug (Sägeblatt/Fräser) geht nach Beendigung des Bearbeitungsvorganges selbständig in die Ausgangsstellung zurück und ist in Ausgangsstellung vollständig verkleidet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Durch z. B. Zweihandschaltung, ortsbindende Befehlseinrichtung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Bedienung nur durch geeignete Beschäftigte, die mindestens 18 Jahre alt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Ausklinksäge (kraftbetrieben)</Arbeitsblatt_MAG>
  <Arbeitsblatt_Name>Ausklinksäge (kraftbetrieben)</Arbeitsblatt_Name>
</ArbeitsblattContext>
</file>

<file path=customXML/itemProps7.xml><?xml version="1.0" encoding="utf-8"?>
<ds:datastoreItem xmlns:ds="http://schemas.openxmlformats.org/officeDocument/2006/customXml" ds:itemID="{8f37de89-3d49-42c8-a4b7-855b94e550ae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