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5c4e4cc-034f-421f-b7e4-958852fbd80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5c4e4cc-034f-421f-b7e4-958852fbd80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5c4e4cc-034f-421f-b7e4-958852fbd80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5c4e4cc-034f-421f-b7e4-958852fbd80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5c4e4cc-034f-421f-b7e4-958852fbd80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5c4e4cc-034f-421f-b7e4-958852fbd80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5c4e4cc-034f-421f-b7e4-958852fbd80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5c4e4cc-034f-421f-b7e4-958852fbd80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5c4e4cc-034f-421f-b7e4-958852fbd80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5c4e4cc-034f-421f-b7e4-958852fbd80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5c4e4cc-034f-421f-b7e4-958852fbd80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2df4f40a3be4c07" /></Relationships>
</file>

<file path=customXML/item7.xml><?xml version="1.0" encoding="utf-8"?>
<!--Generiert am 13.12.2023 23:24:4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Arbeitskörbe nicht überlasten, Lastanhäufungen möglichst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starkem oder böigem Wind Betrieb einstellen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Besondere Unterweisung vor Benutzung des PAM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Betriebsanleitung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Eignungsuntersuchung "Arbeiten mit Absturzgefahr" (früher G 41) für PAM-Benutzer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Kettengeschirre für PAM nicht für andere Zwecke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Kranzulassung für PAM-Betrieb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Arbeitskörbe verwenden, die einen mindestens 1 m hohen Seitenschutz haben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serienmäßig hergestellte, bauartgeprüfte Arbeitskörbe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Sichtkontrolle der Aufhängevorrichtung und Anschlagmittel vor jeder Verwendung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sich Arbeitskörbe verfangen oder kippen können, zusätzlich PSA gegen Absturz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Anzeige der Verwendung des PAMs bei der Berufsgenossenschaft 14 Tage vorher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Arbeitskorb/Personenaufnahmemittel (PAM)</Arbeitsblatt_MAG>
  <Arbeitsblatt_Name>Arbeitskorb/Personenaufnahmemittel (PAM)</Arbeitsblatt_Name>
</ArbeitsblattContext>
</file>

<file path=customXML/itemProps7.xml><?xml version="1.0" encoding="utf-8"?>
<ds:datastoreItem xmlns:ds="http://schemas.openxmlformats.org/officeDocument/2006/customXml" ds:itemID="{45c4e4cc-034f-421f-b7e4-958852fbd80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