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608dae8-d641-408c-99f5-640ecd89f470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608dae8-d641-408c-99f5-640ecd89f470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608dae8-d641-408c-99f5-640ecd89f470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608dae8-d641-408c-99f5-640ecd89f470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608dae8-d641-408c-99f5-640ecd89f470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608dae8-d641-408c-99f5-640ecd89f470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608dae8-d641-408c-99f5-640ecd89f470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608dae8-d641-408c-99f5-640ecd89f470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608dae8-d641-408c-99f5-640ecd89f470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608dae8-d641-408c-99f5-640ecd89f470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608dae8-d641-408c-99f5-640ecd89f470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194dbadfa64410d" /></Relationships>
</file>

<file path=customXML/item7.xml><?xml version="1.0" encoding="utf-8"?>
<!--Generiert am 13.12.2023 23:24:5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Lagerung von Akkus in trockenen, geschlossenen und brandgesicherten Räumen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Räumliche Trennung von Ladestation und Lagerbereich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Akkumulatoren auf Beschädigung überprüfen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Akkumulatoren nicht unmittelbar und dauerhaft hohen Temperaturen oder Wärmequellen aussetzen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brennbaren Materialien oder Waren im Bereich der Ladegeräte während des Ladevorgangs lagern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Feuerlöscher (keine Metallbrandlöscher)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beschädigtem Gehäuse, Aufblähung oder Hitzeentwicklung keinesfalls Ladevorgang starten, sondern Akku entsorgen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Beschädigte oder defekte Akkumulatoren umgehend entfernen und bis zur Entsorgung in einem brandschutztechnisch abgetrennten Bereich zwischenlagern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Akkumulatoren vorzugsweise in Stahlschränken aufladen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Ladegeräte nach Vorgaben des Herstellers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Akku-Technik</Arbeitsblatt_MAG>
  <Arbeitsblatt_Name>Akku-Technik</Arbeitsblatt_Name>
</ArbeitsblattContext>
</file>

<file path=customXML/itemProps7.xml><?xml version="1.0" encoding="utf-8"?>
<ds:datastoreItem xmlns:ds="http://schemas.openxmlformats.org/officeDocument/2006/customXml" ds:itemID="{8608dae8-d641-408c-99f5-640ecd89f470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