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2AEA1" w14:textId="77777777" w:rsidR="00A9019E" w:rsidRDefault="00A9019E">
      <w:pPr>
        <w:pBdr>
          <w:top w:val="single" w:sz="4" w:space="1" w:color="auto" w:shadow="1"/>
          <w:left w:val="single" w:sz="4" w:space="0" w:color="auto" w:shadow="1"/>
          <w:bottom w:val="single" w:sz="4" w:space="1" w:color="auto" w:shadow="1"/>
          <w:right w:val="single" w:sz="4" w:space="4" w:color="auto" w:shadow="1"/>
        </w:pBdr>
        <w:shd w:val="pct10" w:color="auto" w:fill="FFFFFF"/>
        <w:jc w:val="center"/>
        <w:rPr>
          <w:b/>
          <w:sz w:val="16"/>
        </w:rPr>
      </w:pPr>
      <w:bookmarkStart w:id="0" w:name="_GoBack"/>
      <w:bookmarkEnd w:id="0"/>
    </w:p>
    <w:p w14:paraId="5372AEA2" w14:textId="77777777" w:rsidR="00A9019E" w:rsidRDefault="00A9019E">
      <w:pPr>
        <w:pStyle w:val="berschrift3"/>
      </w:pPr>
      <w:r>
        <w:t>Bewertung des Explosionsrisikos bei Möbelfabriken</w:t>
      </w:r>
    </w:p>
    <w:p w14:paraId="5372AEA3" w14:textId="77777777" w:rsidR="00A9019E" w:rsidRDefault="00A9019E">
      <w:pPr>
        <w:pBdr>
          <w:top w:val="single" w:sz="4" w:space="1" w:color="auto" w:shadow="1"/>
          <w:left w:val="single" w:sz="4" w:space="0" w:color="auto" w:shadow="1"/>
          <w:bottom w:val="single" w:sz="4" w:space="1" w:color="auto" w:shadow="1"/>
          <w:right w:val="single" w:sz="4" w:space="4" w:color="auto" w:shadow="1"/>
        </w:pBdr>
        <w:shd w:val="pct10" w:color="auto" w:fill="FFFFFF"/>
        <w:jc w:val="center"/>
        <w:rPr>
          <w:b/>
          <w:sz w:val="16"/>
        </w:rPr>
      </w:pPr>
    </w:p>
    <w:p w14:paraId="5372AEA4" w14:textId="77777777" w:rsidR="00A9019E" w:rsidRDefault="00A9019E">
      <w:pPr>
        <w:ind w:left="142" w:right="85"/>
        <w:jc w:val="both"/>
        <w:rPr>
          <w:rFonts w:ascii="Arial" w:hAnsi="Arial"/>
          <w:sz w:val="16"/>
        </w:rPr>
      </w:pPr>
    </w:p>
    <w:p w14:paraId="5372AEA5" w14:textId="77777777" w:rsidR="00A9019E" w:rsidRDefault="00A9019E">
      <w:pPr>
        <w:ind w:left="142" w:right="85"/>
        <w:jc w:val="both"/>
        <w:rPr>
          <w:rFonts w:ascii="Arial" w:hAnsi="Arial"/>
          <w:sz w:val="22"/>
        </w:rPr>
      </w:pPr>
      <w:r>
        <w:rPr>
          <w:rFonts w:ascii="Arial" w:hAnsi="Arial"/>
          <w:sz w:val="22"/>
        </w:rPr>
        <w:t xml:space="preserve">Der Betreiber von Arbeitsmitteln in explosionsgefährdeten Bereichen ist nach der </w:t>
      </w:r>
      <w:r w:rsidR="00AB32D4">
        <w:rPr>
          <w:rFonts w:ascii="Arial" w:hAnsi="Arial"/>
          <w:sz w:val="22"/>
        </w:rPr>
        <w:t>Gefahrstoffverordnung</w:t>
      </w:r>
      <w:r>
        <w:rPr>
          <w:rFonts w:ascii="Arial" w:hAnsi="Arial"/>
          <w:sz w:val="22"/>
        </w:rPr>
        <w:t xml:space="preserve"> (</w:t>
      </w:r>
      <w:r w:rsidR="00AB32D4">
        <w:rPr>
          <w:rFonts w:ascii="Arial" w:hAnsi="Arial"/>
          <w:sz w:val="22"/>
        </w:rPr>
        <w:t>GefStoffV</w:t>
      </w:r>
      <w:r>
        <w:rPr>
          <w:rFonts w:ascii="Arial" w:hAnsi="Arial"/>
          <w:sz w:val="22"/>
        </w:rPr>
        <w:t xml:space="preserve">) verpflichtet, eine Gefährdungsbeurteilung vorzunehmen und unabhängig von der Zahl der Beschäftigten ein Explosionsschutzdokument zu erstellen. Dabei ist das Ausmaß der zu erwartenden Auswirkungen von Explosionen und die Eintrittswahrscheinlichkeit zu beurteilen. </w:t>
      </w:r>
    </w:p>
    <w:p w14:paraId="5372AEA6" w14:textId="77777777" w:rsidR="00A9019E" w:rsidRDefault="009A1F42">
      <w:pPr>
        <w:pStyle w:val="Blocktext"/>
        <w:rPr>
          <w:rFonts w:ascii="Arial" w:hAnsi="Arial"/>
          <w:sz w:val="22"/>
        </w:rPr>
      </w:pPr>
      <w:r>
        <w:rPr>
          <w:rFonts w:ascii="Arial" w:hAnsi="Arial"/>
          <w:noProof/>
          <w:sz w:val="22"/>
        </w:rPr>
        <w:pict w14:anchorId="5372A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0.75pt;margin-top:141.4pt;width:316.8pt;height:295.2pt;z-index:251658240" o:allowincell="f">
            <v:imagedata r:id="rId10" o:title="File0002"/>
            <w10:wrap type="topAndBottom"/>
          </v:shape>
        </w:pict>
      </w:r>
      <w:r>
        <w:rPr>
          <w:rFonts w:ascii="Arial" w:hAnsi="Arial"/>
          <w:noProof/>
          <w:sz w:val="22"/>
        </w:rPr>
        <w:pict w14:anchorId="5372AEDC">
          <v:shape id="_x0000_s1033" type="#_x0000_t75" style="position:absolute;left:0;text-align:left;margin-left:20.75pt;margin-top:26.2pt;width:316.8pt;height:115.2pt;z-index:251657216" o:allowincell="f">
            <v:imagedata r:id="rId11" o:title="File0001"/>
            <w10:wrap type="topAndBottom"/>
          </v:shape>
        </w:pict>
      </w:r>
      <w:r w:rsidR="00A9019E">
        <w:rPr>
          <w:rFonts w:ascii="Arial" w:hAnsi="Arial"/>
          <w:sz w:val="22"/>
        </w:rPr>
        <w:t xml:space="preserve">In den Tabellen 1 und 2 werden die Kriterien zur Klassifizierung der Eintrittswahrscheinlichkeit einer Explosion und deren Auswirkungen nach der Richtlinie VDI 2263, Blatt 5.1 [1] dargestellt. </w:t>
      </w:r>
    </w:p>
    <w:p w14:paraId="5372AEA7" w14:textId="77777777" w:rsidR="00720E79" w:rsidRDefault="00720E79">
      <w:pPr>
        <w:ind w:left="142" w:right="85"/>
        <w:jc w:val="both"/>
        <w:rPr>
          <w:rFonts w:ascii="Arial" w:hAnsi="Arial"/>
          <w:sz w:val="22"/>
        </w:rPr>
      </w:pPr>
    </w:p>
    <w:p w14:paraId="5372AEA8" w14:textId="77777777" w:rsidR="00A9019E" w:rsidRDefault="00A9019E">
      <w:pPr>
        <w:ind w:left="142" w:right="85"/>
        <w:jc w:val="both"/>
        <w:rPr>
          <w:rFonts w:ascii="Arial" w:hAnsi="Arial"/>
          <w:sz w:val="22"/>
        </w:rPr>
      </w:pPr>
      <w:r>
        <w:rPr>
          <w:rFonts w:ascii="Arial" w:hAnsi="Arial"/>
          <w:sz w:val="22"/>
        </w:rPr>
        <w:t xml:space="preserve">Auf der Grundlage der ermittelten Eintrittswahrscheinlichkeit und der Abschätzung möglicher Auswirkungen einer Explosion kann ein Risikoprofilraster (Bild 1) erstellt werden, in welchem sich das Schutzziel und das festzulegende tolerierbare Risiko bzw. das erwartete Sicherheitsniveau durch eine Treppenlinie </w:t>
      </w:r>
      <w:r>
        <w:rPr>
          <w:rFonts w:ascii="Arial" w:hAnsi="Arial"/>
          <w:i/>
          <w:sz w:val="22"/>
        </w:rPr>
        <w:t>(schwarz, fett)</w:t>
      </w:r>
      <w:r>
        <w:rPr>
          <w:rFonts w:ascii="Arial" w:hAnsi="Arial"/>
          <w:sz w:val="22"/>
        </w:rPr>
        <w:t xml:space="preserve"> darstellen lässt. Die nach sorgfältiger Bewertung unter bzw. links der Schutzlinie eingeordneten Risiken </w:t>
      </w:r>
      <w:r>
        <w:rPr>
          <w:rFonts w:ascii="Arial" w:hAnsi="Arial"/>
          <w:i/>
          <w:sz w:val="22"/>
        </w:rPr>
        <w:t>(grüner Bereich)</w:t>
      </w:r>
      <w:r>
        <w:rPr>
          <w:rFonts w:ascii="Arial" w:hAnsi="Arial"/>
          <w:sz w:val="22"/>
        </w:rPr>
        <w:t xml:space="preserve"> </w:t>
      </w:r>
      <w:r>
        <w:rPr>
          <w:rFonts w:ascii="Arial" w:hAnsi="Arial"/>
          <w:sz w:val="22"/>
          <w:u w:val="single"/>
        </w:rPr>
        <w:t>liegen im Schutzziel</w:t>
      </w:r>
      <w:r>
        <w:rPr>
          <w:rFonts w:ascii="Arial" w:hAnsi="Arial"/>
          <w:sz w:val="22"/>
        </w:rPr>
        <w:t xml:space="preserve"> und werden daher als tolerierbar angenommen. Die über bzw. rechts der Schutzlinie eingeordneten </w:t>
      </w:r>
      <w:r>
        <w:rPr>
          <w:rFonts w:ascii="Arial" w:hAnsi="Arial"/>
          <w:sz w:val="22"/>
        </w:rPr>
        <w:lastRenderedPageBreak/>
        <w:t xml:space="preserve">Risiken </w:t>
      </w:r>
      <w:r>
        <w:rPr>
          <w:rFonts w:ascii="Arial" w:hAnsi="Arial"/>
          <w:i/>
          <w:sz w:val="22"/>
        </w:rPr>
        <w:t>(roter Bereich)</w:t>
      </w:r>
      <w:r>
        <w:rPr>
          <w:rFonts w:ascii="Arial" w:hAnsi="Arial"/>
          <w:sz w:val="22"/>
        </w:rPr>
        <w:t xml:space="preserve"> sind hingegen </w:t>
      </w:r>
      <w:r>
        <w:rPr>
          <w:rFonts w:ascii="Arial" w:hAnsi="Arial"/>
          <w:sz w:val="22"/>
          <w:u w:val="single"/>
        </w:rPr>
        <w:t>nicht tolerierbar</w:t>
      </w:r>
      <w:r>
        <w:rPr>
          <w:rFonts w:ascii="Arial" w:hAnsi="Arial"/>
          <w:sz w:val="22"/>
        </w:rPr>
        <w:t xml:space="preserve"> und machen zusätzliche Schutzmaßnahmen erforderlich.</w:t>
      </w:r>
    </w:p>
    <w:p w14:paraId="5372AEA9" w14:textId="77777777" w:rsidR="00A9019E" w:rsidRDefault="00A9019E">
      <w:pPr>
        <w:ind w:left="142" w:right="85"/>
        <w:jc w:val="both"/>
        <w:rPr>
          <w:rFonts w:ascii="Arial" w:hAnsi="Arial"/>
          <w:sz w:val="16"/>
        </w:rPr>
      </w:pPr>
    </w:p>
    <w:p w14:paraId="5372AEAA" w14:textId="77777777" w:rsidR="00A9019E" w:rsidRDefault="009A1F42">
      <w:pPr>
        <w:ind w:left="142" w:right="85"/>
        <w:jc w:val="both"/>
        <w:rPr>
          <w:rFonts w:ascii="Arial" w:hAnsi="Arial"/>
          <w:sz w:val="22"/>
        </w:rPr>
      </w:pPr>
      <w:r>
        <w:rPr>
          <w:rFonts w:ascii="Arial" w:hAnsi="Arial"/>
          <w:noProof/>
        </w:rPr>
        <w:object w:dxaOrig="1440" w:dyaOrig="1440" w14:anchorId="5372AEDD">
          <v:shape id="_x0000_s1032" type="#_x0000_t75" style="position:absolute;left:0;text-align:left;margin-left:35.15pt;margin-top:14.8pt;width:345.45pt;height:120.9pt;z-index:251656192;visibility:visible;mso-wrap-edited:f" o:allowincell="f">
            <v:imagedata r:id="rId12" o:title=""/>
            <w10:wrap type="topAndBottom"/>
          </v:shape>
          <o:OLEObject Type="Embed" ProgID="Word.Picture.8" ShapeID="_x0000_s1032" DrawAspect="Content" ObjectID="_1522837310" r:id="rId13"/>
        </w:object>
      </w:r>
      <w:r w:rsidR="00A9019E">
        <w:rPr>
          <w:rFonts w:ascii="Arial" w:hAnsi="Arial"/>
        </w:rPr>
        <w:tab/>
      </w:r>
      <w:r w:rsidR="00A9019E">
        <w:rPr>
          <w:rFonts w:ascii="Arial" w:hAnsi="Arial"/>
          <w:sz w:val="22"/>
          <w:u w:val="single"/>
        </w:rPr>
        <w:t>Bild 1</w:t>
      </w:r>
      <w:r w:rsidR="00A9019E">
        <w:rPr>
          <w:rFonts w:ascii="Arial" w:hAnsi="Arial"/>
          <w:sz w:val="22"/>
        </w:rPr>
        <w:t xml:space="preserve">: Risikoprofilraster mit Schutzlinie </w:t>
      </w:r>
    </w:p>
    <w:p w14:paraId="5372AEAB" w14:textId="77777777" w:rsidR="00A9019E" w:rsidRDefault="009A1F42">
      <w:pPr>
        <w:ind w:left="142" w:right="-285"/>
        <w:jc w:val="both"/>
      </w:pPr>
      <w:r>
        <w:rPr>
          <w:noProof/>
        </w:rPr>
        <w:pict w14:anchorId="5372AEDF">
          <v:shapetype id="_x0000_t202" coordsize="21600,21600" o:spt="202" path="m,l,21600r21600,l21600,xe">
            <v:stroke joinstyle="miter"/>
            <v:path gradientshapeok="t" o:connecttype="rect"/>
          </v:shapetype>
          <v:shape id="_x0000_s1035" type="#_x0000_t202" style="position:absolute;left:0;text-align:left;margin-left:330.35pt;margin-top:70.2pt;width:7.2pt;height:7.2pt;z-index:251659264" o:allowincell="f">
            <v:textbox style="mso-next-textbox:#_x0000_s1035">
              <w:txbxContent>
                <w:p w14:paraId="5372AEE0" w14:textId="77777777" w:rsidR="00AC1CDB" w:rsidRDefault="00AC1CDB">
                  <w:pPr>
                    <w:rPr>
                      <w:b/>
                      <w:sz w:val="16"/>
                    </w:rPr>
                  </w:pPr>
                  <w:r>
                    <w:rPr>
                      <w:b/>
                      <w:sz w:val="16"/>
                    </w:rPr>
                    <w:t>-</w:t>
                  </w:r>
                </w:p>
              </w:txbxContent>
            </v:textbox>
          </v:shape>
        </w:pict>
      </w:r>
    </w:p>
    <w:p w14:paraId="5372AEAC" w14:textId="77777777" w:rsidR="00A9019E" w:rsidRDefault="00A9019E">
      <w:pPr>
        <w:ind w:left="142" w:right="-285"/>
        <w:jc w:val="both"/>
      </w:pPr>
    </w:p>
    <w:p w14:paraId="5372AEAD" w14:textId="77777777" w:rsidR="00A9019E" w:rsidRDefault="00A9019E">
      <w:pPr>
        <w:pBdr>
          <w:top w:val="single" w:sz="4" w:space="1" w:color="auto" w:shadow="1"/>
          <w:left w:val="single" w:sz="4" w:space="0" w:color="auto" w:shadow="1"/>
          <w:bottom w:val="single" w:sz="4" w:space="1" w:color="auto" w:shadow="1"/>
          <w:right w:val="single" w:sz="4" w:space="4" w:color="auto" w:shadow="1"/>
        </w:pBdr>
        <w:shd w:val="pct10" w:color="auto" w:fill="FFFFFF"/>
        <w:jc w:val="center"/>
        <w:rPr>
          <w:b/>
          <w:sz w:val="16"/>
        </w:rPr>
      </w:pPr>
    </w:p>
    <w:p w14:paraId="5372AEAE" w14:textId="77777777" w:rsidR="00A9019E" w:rsidRDefault="00A9019E">
      <w:pPr>
        <w:pBdr>
          <w:top w:val="single" w:sz="4" w:space="1" w:color="auto" w:shadow="1"/>
          <w:left w:val="single" w:sz="4" w:space="0" w:color="auto" w:shadow="1"/>
          <w:bottom w:val="single" w:sz="4" w:space="1" w:color="auto" w:shadow="1"/>
          <w:right w:val="single" w:sz="4" w:space="4" w:color="auto" w:shadow="1"/>
        </w:pBdr>
        <w:shd w:val="pct10" w:color="auto" w:fill="FFFFFF"/>
        <w:jc w:val="center"/>
        <w:rPr>
          <w:rFonts w:ascii="Arial" w:hAnsi="Arial"/>
          <w:b/>
          <w:sz w:val="24"/>
        </w:rPr>
      </w:pPr>
      <w:r>
        <w:rPr>
          <w:rFonts w:ascii="Arial" w:hAnsi="Arial"/>
          <w:b/>
          <w:sz w:val="24"/>
        </w:rPr>
        <w:t>Bewertung des Explosionsrisikos bei Möbelfabriken (Fortsetzung)</w:t>
      </w:r>
    </w:p>
    <w:p w14:paraId="5372AEAF" w14:textId="77777777" w:rsidR="00A9019E" w:rsidRDefault="00A9019E">
      <w:pPr>
        <w:pBdr>
          <w:top w:val="single" w:sz="4" w:space="1" w:color="auto" w:shadow="1"/>
          <w:left w:val="single" w:sz="4" w:space="0" w:color="auto" w:shadow="1"/>
          <w:bottom w:val="single" w:sz="4" w:space="1" w:color="auto" w:shadow="1"/>
          <w:right w:val="single" w:sz="4" w:space="4" w:color="auto" w:shadow="1"/>
        </w:pBdr>
        <w:shd w:val="pct10" w:color="auto" w:fill="FFFFFF"/>
        <w:jc w:val="center"/>
        <w:rPr>
          <w:b/>
          <w:sz w:val="16"/>
        </w:rPr>
      </w:pPr>
    </w:p>
    <w:p w14:paraId="5372AEB0" w14:textId="77777777" w:rsidR="00A9019E" w:rsidRDefault="00A9019E">
      <w:pPr>
        <w:ind w:left="142" w:right="85"/>
        <w:jc w:val="both"/>
        <w:rPr>
          <w:rFonts w:ascii="Arial" w:hAnsi="Arial"/>
        </w:rPr>
      </w:pPr>
    </w:p>
    <w:p w14:paraId="5372AEB1" w14:textId="77777777" w:rsidR="00A9019E" w:rsidRDefault="00A9019E">
      <w:pPr>
        <w:pStyle w:val="Blocktext"/>
        <w:tabs>
          <w:tab w:val="clear" w:pos="567"/>
        </w:tabs>
        <w:rPr>
          <w:rFonts w:ascii="Arial" w:hAnsi="Arial"/>
          <w:sz w:val="22"/>
        </w:rPr>
      </w:pPr>
      <w:r>
        <w:rPr>
          <w:rFonts w:ascii="Arial" w:hAnsi="Arial"/>
          <w:sz w:val="22"/>
        </w:rPr>
        <w:t xml:space="preserve">Durch eine bundesweite Befragung von 4346 Mitgliedsbetrieben der Holz-Berufsgenossenschaft im Jahr 1998 und deren statistische Auswertung wurden die Häufigkeit und die Ursachen von Bränden und Explosionen in holzverarbeitenden Unternehmen ermittelt [2]. </w:t>
      </w:r>
    </w:p>
    <w:p w14:paraId="5372AEB2" w14:textId="77777777" w:rsidR="00A9019E" w:rsidRDefault="00A9019E">
      <w:pPr>
        <w:pStyle w:val="Blocktext"/>
        <w:tabs>
          <w:tab w:val="clear" w:pos="567"/>
        </w:tabs>
        <w:rPr>
          <w:rFonts w:ascii="Arial" w:hAnsi="Arial"/>
          <w:sz w:val="16"/>
        </w:rPr>
      </w:pPr>
    </w:p>
    <w:p w14:paraId="5372AEB3" w14:textId="77777777" w:rsidR="00A9019E" w:rsidRDefault="00A9019E">
      <w:pPr>
        <w:ind w:left="142" w:right="85"/>
        <w:jc w:val="both"/>
        <w:rPr>
          <w:rFonts w:ascii="Arial" w:hAnsi="Arial"/>
          <w:sz w:val="22"/>
        </w:rPr>
      </w:pPr>
      <w:r>
        <w:rPr>
          <w:rFonts w:ascii="Arial" w:hAnsi="Arial"/>
          <w:sz w:val="22"/>
        </w:rPr>
        <w:t xml:space="preserve">Basierend auf dieser Untersuchung wurde die Eintrittswahrscheinlichkeit von Explosionen (Ex-WK) und deren Auswirkungen für Möbelfabriken bestimmt: </w:t>
      </w:r>
    </w:p>
    <w:p w14:paraId="5372AEB4" w14:textId="77777777" w:rsidR="00A9019E" w:rsidRDefault="00A9019E">
      <w:pPr>
        <w:ind w:left="142" w:right="85"/>
        <w:jc w:val="both"/>
        <w:rPr>
          <w:rFonts w:ascii="Arial" w:hAnsi="Arial"/>
          <w:sz w:val="22"/>
        </w:rPr>
      </w:pPr>
      <w:r>
        <w:rPr>
          <w:rFonts w:ascii="Arial" w:hAnsi="Arial"/>
          <w:sz w:val="22"/>
        </w:rPr>
        <w:t>181 befragte Möbelfabriken; 178 Betriebe ohne Explosionsereignis; 3 Betriebe mit Explosionsereignissen; Beobachtungszeitraum: 5 Jahre.</w:t>
      </w:r>
    </w:p>
    <w:p w14:paraId="5372AEB5" w14:textId="77777777" w:rsidR="00A9019E" w:rsidRDefault="00A9019E">
      <w:pPr>
        <w:ind w:left="142" w:right="85"/>
        <w:jc w:val="both"/>
        <w:rPr>
          <w:rFonts w:ascii="Arial" w:hAnsi="Arial"/>
          <w:sz w:val="22"/>
        </w:rPr>
      </w:pPr>
      <w:r>
        <w:rPr>
          <w:rFonts w:ascii="Arial" w:hAnsi="Arial"/>
          <w:sz w:val="22"/>
        </w:rPr>
        <w:t>Ergebnis: 3 Ereignisse / 5 Jahre / 181 Betriebe = 0,33 x 10</w:t>
      </w:r>
      <w:r>
        <w:rPr>
          <w:rFonts w:ascii="Arial" w:hAnsi="Arial"/>
          <w:sz w:val="22"/>
          <w:vertAlign w:val="superscript"/>
        </w:rPr>
        <w:t xml:space="preserve">-2 </w:t>
      </w:r>
      <w:r>
        <w:rPr>
          <w:rFonts w:ascii="Arial" w:hAnsi="Arial"/>
          <w:sz w:val="22"/>
        </w:rPr>
        <w:t xml:space="preserve"> (0,33 Ereignisse in 100 Jahren) Eintrittswahrscheinlichkeit = „ </w:t>
      </w:r>
      <w:r>
        <w:rPr>
          <w:sz w:val="22"/>
        </w:rPr>
        <w:t>E</w:t>
      </w:r>
      <w:r>
        <w:rPr>
          <w:rFonts w:ascii="Arial" w:hAnsi="Arial"/>
          <w:sz w:val="22"/>
        </w:rPr>
        <w:t xml:space="preserve"> “. Die Auswirkungen entsprechen der Klasse „ </w:t>
      </w:r>
      <w:r>
        <w:rPr>
          <w:sz w:val="22"/>
        </w:rPr>
        <w:t>I “.</w:t>
      </w:r>
    </w:p>
    <w:p w14:paraId="5372AEB6" w14:textId="77777777" w:rsidR="00A9019E" w:rsidRDefault="00A9019E">
      <w:pPr>
        <w:ind w:left="142" w:right="-57"/>
        <w:jc w:val="both"/>
        <w:rPr>
          <w:sz w:val="16"/>
        </w:rPr>
      </w:pPr>
    </w:p>
    <w:p w14:paraId="5372AEB7" w14:textId="77777777" w:rsidR="00A9019E" w:rsidRDefault="00A9019E">
      <w:pPr>
        <w:ind w:left="142" w:right="-57"/>
        <w:jc w:val="both"/>
        <w:rPr>
          <w:rFonts w:ascii="Arial" w:hAnsi="Arial"/>
          <w:sz w:val="22"/>
        </w:rPr>
      </w:pPr>
      <w:r>
        <w:rPr>
          <w:rFonts w:ascii="Arial" w:hAnsi="Arial"/>
          <w:sz w:val="22"/>
        </w:rPr>
        <w:t>Im Vergleich ist die Eintrittswahrscheinlichkeit von Explosionen bei Schreinereien dargestellt:</w:t>
      </w:r>
    </w:p>
    <w:p w14:paraId="5372AEB8" w14:textId="77777777" w:rsidR="00A9019E" w:rsidRDefault="00A9019E">
      <w:pPr>
        <w:ind w:left="142" w:right="85"/>
        <w:jc w:val="both"/>
        <w:rPr>
          <w:rFonts w:ascii="Arial" w:hAnsi="Arial"/>
          <w:sz w:val="22"/>
        </w:rPr>
      </w:pPr>
      <w:r>
        <w:rPr>
          <w:rFonts w:ascii="Arial" w:hAnsi="Arial"/>
          <w:sz w:val="22"/>
        </w:rPr>
        <w:t>2.579 befragte Tischlereien/Schreinereien; 2.575 Betriebe ohne Explosionsereignis; 4 Betriebe mit Explosionsereignissen;  Beobachtungszeitraum: 5 Jahre.</w:t>
      </w:r>
    </w:p>
    <w:p w14:paraId="5372AEB9" w14:textId="77777777" w:rsidR="00A9019E" w:rsidRDefault="00A9019E">
      <w:pPr>
        <w:ind w:left="142" w:right="85"/>
        <w:jc w:val="both"/>
        <w:rPr>
          <w:rFonts w:ascii="Arial" w:hAnsi="Arial"/>
          <w:sz w:val="16"/>
        </w:rPr>
      </w:pPr>
      <w:r>
        <w:rPr>
          <w:rFonts w:ascii="Arial" w:hAnsi="Arial"/>
          <w:sz w:val="22"/>
        </w:rPr>
        <w:t>Ergebnis: 4 Ereignisse / 5 Jahre / 2.579 Betriebe = 0,3 x 10</w:t>
      </w:r>
      <w:r>
        <w:rPr>
          <w:rFonts w:ascii="Arial" w:hAnsi="Arial"/>
          <w:sz w:val="22"/>
          <w:vertAlign w:val="superscript"/>
        </w:rPr>
        <w:t xml:space="preserve">-3 </w:t>
      </w:r>
      <w:r>
        <w:rPr>
          <w:rFonts w:ascii="Arial" w:hAnsi="Arial"/>
          <w:sz w:val="22"/>
        </w:rPr>
        <w:t xml:space="preserve"> (0,3 Ereignisse in 1.000 Jahren) Eintrittswahrscheinlichkeit = „ </w:t>
      </w:r>
      <w:r>
        <w:rPr>
          <w:sz w:val="22"/>
        </w:rPr>
        <w:t>F</w:t>
      </w:r>
      <w:r>
        <w:rPr>
          <w:rFonts w:ascii="Arial" w:hAnsi="Arial"/>
          <w:sz w:val="22"/>
        </w:rPr>
        <w:t xml:space="preserve"> “. Die Auswirkungen entsprechen der Klasse „ </w:t>
      </w:r>
      <w:r>
        <w:rPr>
          <w:sz w:val="22"/>
        </w:rPr>
        <w:t>I “.</w:t>
      </w:r>
    </w:p>
    <w:p w14:paraId="5372AEBA" w14:textId="77777777" w:rsidR="00A9019E" w:rsidRDefault="00A9019E">
      <w:pPr>
        <w:ind w:left="142" w:right="85"/>
        <w:jc w:val="both"/>
        <w:rPr>
          <w:rFonts w:ascii="Arial" w:hAnsi="Arial"/>
          <w:sz w:val="16"/>
        </w:rPr>
      </w:pP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3"/>
        <w:gridCol w:w="2127"/>
        <w:gridCol w:w="2126"/>
        <w:gridCol w:w="2693"/>
      </w:tblGrid>
      <w:tr w:rsidR="00A9019E" w14:paraId="5372AEBF" w14:textId="77777777">
        <w:trPr>
          <w:trHeight w:val="585"/>
        </w:trPr>
        <w:tc>
          <w:tcPr>
            <w:tcW w:w="2693" w:type="dxa"/>
            <w:shd w:val="pct10" w:color="auto" w:fill="FFFFFF"/>
          </w:tcPr>
          <w:p w14:paraId="5372AEBB" w14:textId="77777777" w:rsidR="00A9019E" w:rsidRDefault="00A9019E">
            <w:pPr>
              <w:spacing w:before="60" w:after="60"/>
              <w:jc w:val="center"/>
              <w:rPr>
                <w:rFonts w:ascii="Arial" w:hAnsi="Arial"/>
                <w:b/>
              </w:rPr>
            </w:pPr>
            <w:r>
              <w:rPr>
                <w:rFonts w:ascii="Arial" w:hAnsi="Arial"/>
                <w:b/>
              </w:rPr>
              <w:t>Gewerbegruppe</w:t>
            </w:r>
          </w:p>
        </w:tc>
        <w:tc>
          <w:tcPr>
            <w:tcW w:w="2127" w:type="dxa"/>
            <w:shd w:val="pct10" w:color="auto" w:fill="FFFFFF"/>
          </w:tcPr>
          <w:p w14:paraId="5372AEBC" w14:textId="77777777" w:rsidR="00A9019E" w:rsidRDefault="00A9019E">
            <w:pPr>
              <w:spacing w:before="60" w:after="60"/>
              <w:jc w:val="center"/>
              <w:rPr>
                <w:rFonts w:ascii="Arial" w:hAnsi="Arial"/>
                <w:b/>
              </w:rPr>
            </w:pPr>
            <w:r>
              <w:rPr>
                <w:rFonts w:ascii="Arial" w:hAnsi="Arial"/>
                <w:b/>
              </w:rPr>
              <w:t>Eintritts-wahrscheinlichkeit</w:t>
            </w:r>
          </w:p>
        </w:tc>
        <w:tc>
          <w:tcPr>
            <w:tcW w:w="2126" w:type="dxa"/>
            <w:shd w:val="pct10" w:color="auto" w:fill="FFFFFF"/>
          </w:tcPr>
          <w:p w14:paraId="5372AEBD" w14:textId="77777777" w:rsidR="00A9019E" w:rsidRDefault="00A9019E">
            <w:pPr>
              <w:spacing w:before="60" w:after="60"/>
              <w:jc w:val="center"/>
              <w:rPr>
                <w:rFonts w:ascii="Arial" w:hAnsi="Arial"/>
                <w:b/>
              </w:rPr>
            </w:pPr>
            <w:r>
              <w:rPr>
                <w:rFonts w:ascii="Arial" w:hAnsi="Arial"/>
                <w:b/>
              </w:rPr>
              <w:t>Auswirkungen Explosionen</w:t>
            </w:r>
          </w:p>
        </w:tc>
        <w:tc>
          <w:tcPr>
            <w:tcW w:w="2693" w:type="dxa"/>
            <w:shd w:val="pct10" w:color="auto" w:fill="FFFFFF"/>
          </w:tcPr>
          <w:p w14:paraId="5372AEBE" w14:textId="77777777" w:rsidR="00A9019E" w:rsidRDefault="00A9019E">
            <w:pPr>
              <w:spacing w:before="60" w:after="60"/>
              <w:jc w:val="center"/>
              <w:rPr>
                <w:rFonts w:ascii="Arial" w:hAnsi="Arial"/>
                <w:b/>
              </w:rPr>
            </w:pPr>
            <w:r>
              <w:rPr>
                <w:rFonts w:ascii="Arial" w:hAnsi="Arial"/>
                <w:b/>
              </w:rPr>
              <w:t xml:space="preserve">Niveau zusätzlicher Schutzmaßnahmen </w:t>
            </w:r>
          </w:p>
        </w:tc>
      </w:tr>
      <w:tr w:rsidR="00A9019E" w14:paraId="5372AEC4" w14:textId="77777777">
        <w:trPr>
          <w:trHeight w:val="85"/>
        </w:trPr>
        <w:tc>
          <w:tcPr>
            <w:tcW w:w="2693" w:type="dxa"/>
          </w:tcPr>
          <w:p w14:paraId="5372AEC0" w14:textId="77777777" w:rsidR="00A9019E" w:rsidRDefault="00A9019E">
            <w:pPr>
              <w:pStyle w:val="berschrift4"/>
              <w:rPr>
                <w:b w:val="0"/>
                <w:sz w:val="22"/>
              </w:rPr>
            </w:pPr>
            <w:r>
              <w:rPr>
                <w:b w:val="0"/>
                <w:sz w:val="22"/>
              </w:rPr>
              <w:lastRenderedPageBreak/>
              <w:t>Möbelfabriken</w:t>
            </w:r>
          </w:p>
        </w:tc>
        <w:tc>
          <w:tcPr>
            <w:tcW w:w="2127" w:type="dxa"/>
          </w:tcPr>
          <w:p w14:paraId="5372AEC1" w14:textId="77777777" w:rsidR="00A9019E" w:rsidRDefault="00A9019E">
            <w:pPr>
              <w:pStyle w:val="berschrift1"/>
              <w:rPr>
                <w:rFonts w:ascii="Times New Roman" w:hAnsi="Times New Roman"/>
                <w:b w:val="0"/>
              </w:rPr>
            </w:pPr>
            <w:r>
              <w:rPr>
                <w:rFonts w:ascii="Times New Roman" w:hAnsi="Times New Roman"/>
                <w:b w:val="0"/>
              </w:rPr>
              <w:t>E</w:t>
            </w:r>
          </w:p>
        </w:tc>
        <w:tc>
          <w:tcPr>
            <w:tcW w:w="2126" w:type="dxa"/>
          </w:tcPr>
          <w:p w14:paraId="5372AEC2" w14:textId="77777777" w:rsidR="00A9019E" w:rsidRDefault="00A9019E">
            <w:pPr>
              <w:pStyle w:val="berschrift1"/>
              <w:rPr>
                <w:rFonts w:ascii="Times New Roman" w:hAnsi="Times New Roman"/>
                <w:b w:val="0"/>
              </w:rPr>
            </w:pPr>
            <w:r>
              <w:rPr>
                <w:rFonts w:ascii="Times New Roman" w:hAnsi="Times New Roman"/>
                <w:b w:val="0"/>
              </w:rPr>
              <w:t>I</w:t>
            </w:r>
          </w:p>
        </w:tc>
        <w:tc>
          <w:tcPr>
            <w:tcW w:w="2693" w:type="dxa"/>
          </w:tcPr>
          <w:p w14:paraId="5372AEC3" w14:textId="77777777" w:rsidR="00A9019E" w:rsidRDefault="00A9019E">
            <w:pPr>
              <w:spacing w:before="60"/>
              <w:jc w:val="center"/>
              <w:rPr>
                <w:rFonts w:ascii="Arial" w:hAnsi="Arial"/>
                <w:sz w:val="22"/>
              </w:rPr>
            </w:pPr>
            <w:r>
              <w:rPr>
                <w:rFonts w:ascii="Arial" w:hAnsi="Arial"/>
                <w:sz w:val="22"/>
              </w:rPr>
              <w:t>höher *</w:t>
            </w:r>
          </w:p>
        </w:tc>
      </w:tr>
      <w:tr w:rsidR="00A9019E" w14:paraId="5372AEC9" w14:textId="77777777">
        <w:trPr>
          <w:trHeight w:val="85"/>
        </w:trPr>
        <w:tc>
          <w:tcPr>
            <w:tcW w:w="2693" w:type="dxa"/>
          </w:tcPr>
          <w:p w14:paraId="5372AEC5" w14:textId="77777777" w:rsidR="00A9019E" w:rsidRDefault="00A9019E">
            <w:pPr>
              <w:pStyle w:val="berschrift4"/>
              <w:rPr>
                <w:b w:val="0"/>
                <w:sz w:val="22"/>
              </w:rPr>
            </w:pPr>
            <w:r>
              <w:rPr>
                <w:b w:val="0"/>
                <w:sz w:val="22"/>
              </w:rPr>
              <w:t>Tischlerei / Schreinerei</w:t>
            </w:r>
          </w:p>
        </w:tc>
        <w:tc>
          <w:tcPr>
            <w:tcW w:w="2127" w:type="dxa"/>
          </w:tcPr>
          <w:p w14:paraId="5372AEC6" w14:textId="77777777" w:rsidR="00A9019E" w:rsidRDefault="00A9019E">
            <w:pPr>
              <w:pStyle w:val="berschrift1"/>
              <w:rPr>
                <w:rFonts w:ascii="Times New Roman" w:hAnsi="Times New Roman"/>
                <w:b w:val="0"/>
              </w:rPr>
            </w:pPr>
            <w:r>
              <w:rPr>
                <w:rFonts w:ascii="Times New Roman" w:hAnsi="Times New Roman"/>
                <w:b w:val="0"/>
              </w:rPr>
              <w:t>F</w:t>
            </w:r>
          </w:p>
        </w:tc>
        <w:tc>
          <w:tcPr>
            <w:tcW w:w="2126" w:type="dxa"/>
          </w:tcPr>
          <w:p w14:paraId="5372AEC7" w14:textId="77777777" w:rsidR="00A9019E" w:rsidRDefault="00A9019E">
            <w:pPr>
              <w:pStyle w:val="berschrift1"/>
              <w:rPr>
                <w:rFonts w:ascii="Times New Roman" w:hAnsi="Times New Roman"/>
                <w:b w:val="0"/>
              </w:rPr>
            </w:pPr>
            <w:r>
              <w:rPr>
                <w:rFonts w:ascii="Times New Roman" w:hAnsi="Times New Roman"/>
                <w:b w:val="0"/>
              </w:rPr>
              <w:t>I</w:t>
            </w:r>
          </w:p>
        </w:tc>
        <w:tc>
          <w:tcPr>
            <w:tcW w:w="2693" w:type="dxa"/>
          </w:tcPr>
          <w:p w14:paraId="5372AEC8" w14:textId="77777777" w:rsidR="00A9019E" w:rsidRDefault="00A9019E">
            <w:pPr>
              <w:spacing w:before="60"/>
              <w:jc w:val="center"/>
              <w:rPr>
                <w:rFonts w:ascii="Arial" w:hAnsi="Arial"/>
                <w:sz w:val="22"/>
              </w:rPr>
            </w:pPr>
            <w:r>
              <w:rPr>
                <w:rFonts w:ascii="Arial" w:hAnsi="Arial"/>
                <w:sz w:val="22"/>
              </w:rPr>
              <w:t>gering</w:t>
            </w:r>
          </w:p>
        </w:tc>
      </w:tr>
    </w:tbl>
    <w:p w14:paraId="5372AECA" w14:textId="77777777" w:rsidR="00A9019E" w:rsidRDefault="00A9019E">
      <w:pPr>
        <w:pStyle w:val="Textkrper3"/>
        <w:ind w:left="142" w:right="85"/>
        <w:jc w:val="both"/>
        <w:rPr>
          <w:rFonts w:ascii="Times New Roman" w:hAnsi="Times New Roman"/>
          <w:b w:val="0"/>
          <w:sz w:val="16"/>
        </w:rPr>
      </w:pPr>
    </w:p>
    <w:p w14:paraId="5372AECB" w14:textId="77777777" w:rsidR="00A9019E" w:rsidRDefault="00A9019E">
      <w:pPr>
        <w:pStyle w:val="Textkrper3"/>
        <w:ind w:left="142" w:right="85"/>
        <w:jc w:val="both"/>
        <w:rPr>
          <w:b w:val="0"/>
        </w:rPr>
      </w:pPr>
      <w:r>
        <w:rPr>
          <w:b w:val="0"/>
        </w:rPr>
        <w:t xml:space="preserve">* Die Eintrittswahrscheinlichkeit von Explosionen in Möbelfabriken ist höher als in Schreinereien. Das sich nach Bild 1 ergebende Risiko liegt im </w:t>
      </w:r>
      <w:r>
        <w:rPr>
          <w:b w:val="0"/>
          <w:i/>
        </w:rPr>
        <w:t>roten</w:t>
      </w:r>
      <w:r>
        <w:rPr>
          <w:b w:val="0"/>
        </w:rPr>
        <w:t xml:space="preserve"> Bereich oberhalb des tolerierbaren </w:t>
      </w:r>
      <w:r>
        <w:rPr>
          <w:b w:val="0"/>
          <w:i/>
        </w:rPr>
        <w:t>(grünen)</w:t>
      </w:r>
      <w:r>
        <w:rPr>
          <w:b w:val="0"/>
        </w:rPr>
        <w:t xml:space="preserve"> Bereiches. Nach VDI 2263, Blatt 5.1 müssen bei dieser Risikoeinstufung zusätzliche Schutzmaßnahmen zur Verringerung der Eintrittswahrscheinlichkeit von Explosionen vorgesehen werden. Zunächst muss festgestellt werden, ob sich das Auftreten explosionsfähiger Atmosphäre vermeiden lässt (z.</w:t>
      </w:r>
      <w:r w:rsidR="00AB32D4">
        <w:rPr>
          <w:b w:val="0"/>
        </w:rPr>
        <w:t xml:space="preserve"> </w:t>
      </w:r>
      <w:r>
        <w:rPr>
          <w:b w:val="0"/>
        </w:rPr>
        <w:t xml:space="preserve">B. in Lackierbereichen durch ausreichenden Luftwechsel und technische Absaug- und Lüftungsmaßnahmen oder durch Begrenzung von Lack- und Lösemittelkonzentrationen beim Spritzlackieren; in Bereichen der Holzbearbeitung durch gezielte Stauberfassung und Absaugung und durch regelmäßige Entfernung von Staubablagerungen). </w:t>
      </w:r>
      <w:r w:rsidR="00AB32D4">
        <w:rPr>
          <w:b w:val="0"/>
        </w:rPr>
        <w:t>Darüber hinaus</w:t>
      </w:r>
      <w:r>
        <w:rPr>
          <w:b w:val="0"/>
        </w:rPr>
        <w:t xml:space="preserve"> muss geprüft werden, ob sich wirksame Zündquellen ausschließen lassen. Von den 13 bekannten Zündquellenarten (siehe auch DIN EN 1127-1) müssen die für Möbelfabriken relevanten Zündquellen betrachtet werden, wie z.</w:t>
      </w:r>
      <w:r w:rsidR="00AB32D4">
        <w:rPr>
          <w:b w:val="0"/>
        </w:rPr>
        <w:t xml:space="preserve"> </w:t>
      </w:r>
      <w:r>
        <w:rPr>
          <w:b w:val="0"/>
        </w:rPr>
        <w:t xml:space="preserve">B. heiße Oberflächen, elektrische Anlagen, mechanisch erzeugte Funken, statische Elektrizität, chemische Reaktionen. Organisatorisch muss darauf geachtet werden, dass das Rauchverbot und das Verbot von offenem Feuer / offenem Licht konsequent eingehalten wird. </w:t>
      </w:r>
    </w:p>
    <w:p w14:paraId="5372AECC" w14:textId="77777777" w:rsidR="00A9019E" w:rsidRDefault="00A9019E">
      <w:pPr>
        <w:pStyle w:val="Textkrper3"/>
        <w:ind w:left="142" w:right="85"/>
        <w:jc w:val="both"/>
        <w:rPr>
          <w:b w:val="0"/>
        </w:rPr>
      </w:pPr>
      <w:r>
        <w:rPr>
          <w:b w:val="0"/>
        </w:rPr>
        <w:t xml:space="preserve">Die </w:t>
      </w:r>
      <w:r w:rsidR="00AB32D4" w:rsidRPr="00AB32D4">
        <w:rPr>
          <w:b w:val="0"/>
        </w:rPr>
        <w:t>DGUV Information 209-046</w:t>
      </w:r>
      <w:r w:rsidR="00AB32D4" w:rsidRPr="00AB32D4" w:rsidDel="00AB32D4">
        <w:t xml:space="preserve"> </w:t>
      </w:r>
      <w:r>
        <w:rPr>
          <w:b w:val="0"/>
        </w:rPr>
        <w:t xml:space="preserve">„Lackierräume und </w:t>
      </w:r>
      <w:r w:rsidR="000379C5">
        <w:rPr>
          <w:b w:val="0"/>
        </w:rPr>
        <w:t>-</w:t>
      </w:r>
      <w:r>
        <w:rPr>
          <w:b w:val="0"/>
        </w:rPr>
        <w:t>einrichtungen“ informiert über bauliche Einrichtungen, Brand- und Explosionsschutz und den Betrieb von Lackiereinrichtungen.</w:t>
      </w:r>
    </w:p>
    <w:p w14:paraId="5372AECD" w14:textId="77777777" w:rsidR="00A9019E" w:rsidRDefault="00A9019E">
      <w:pPr>
        <w:pStyle w:val="Textkrper3"/>
        <w:ind w:left="142" w:right="85"/>
        <w:jc w:val="both"/>
        <w:rPr>
          <w:b w:val="0"/>
        </w:rPr>
      </w:pPr>
      <w:r>
        <w:rPr>
          <w:b w:val="0"/>
        </w:rPr>
        <w:t xml:space="preserve">Die </w:t>
      </w:r>
      <w:r w:rsidR="00AB32D4" w:rsidRPr="00AB32D4">
        <w:rPr>
          <w:b w:val="0"/>
        </w:rPr>
        <w:t>DGUV Information 209-04</w:t>
      </w:r>
      <w:r w:rsidR="00720E79">
        <w:rPr>
          <w:b w:val="0"/>
        </w:rPr>
        <w:t>5</w:t>
      </w:r>
      <w:r w:rsidR="00AB32D4" w:rsidRPr="00AB32D4" w:rsidDel="00AB32D4">
        <w:t xml:space="preserve"> </w:t>
      </w:r>
      <w:r>
        <w:rPr>
          <w:b w:val="0"/>
        </w:rPr>
        <w:t>„</w:t>
      </w:r>
      <w:r w:rsidR="00720E79">
        <w:rPr>
          <w:b w:val="0"/>
        </w:rPr>
        <w:t>Absauganlagen und Silos für Holzstaub und -späne - Brand- und Explosionsschutz</w:t>
      </w:r>
      <w:r>
        <w:rPr>
          <w:b w:val="0"/>
        </w:rPr>
        <w:t>“ gibt Informationen über die Arbeitssicherheit beim Erfassen, Absaugen und Lagern von Holzstaub und dem Betrieb von Absauganlagen.</w:t>
      </w:r>
    </w:p>
    <w:p w14:paraId="5372AECE" w14:textId="77777777" w:rsidR="00A9019E" w:rsidRDefault="00A9019E">
      <w:pPr>
        <w:pStyle w:val="Textkrper3"/>
        <w:ind w:left="142" w:right="85"/>
        <w:rPr>
          <w:rFonts w:ascii="Times New Roman" w:hAnsi="Times New Roman"/>
          <w:b w:val="0"/>
        </w:rPr>
      </w:pPr>
    </w:p>
    <w:p w14:paraId="5372AECF" w14:textId="77777777" w:rsidR="00A9019E" w:rsidRDefault="00A9019E">
      <w:pPr>
        <w:pStyle w:val="Textkrper3"/>
        <w:ind w:left="142" w:right="85"/>
        <w:rPr>
          <w:rFonts w:ascii="Times New Roman" w:hAnsi="Times New Roman"/>
          <w:b w:val="0"/>
        </w:rPr>
      </w:pPr>
    </w:p>
    <w:p w14:paraId="5372AED0" w14:textId="77777777" w:rsidR="00A9019E" w:rsidRDefault="00A9019E">
      <w:pPr>
        <w:ind w:left="142"/>
        <w:jc w:val="both"/>
        <w:rPr>
          <w:b/>
          <w:sz w:val="22"/>
          <w:u w:val="single"/>
        </w:rPr>
      </w:pPr>
      <w:r>
        <w:rPr>
          <w:b/>
          <w:sz w:val="22"/>
          <w:u w:val="single"/>
        </w:rPr>
        <w:t>Literatur:</w:t>
      </w:r>
    </w:p>
    <w:p w14:paraId="5372AED1" w14:textId="77777777" w:rsidR="00A9019E" w:rsidRDefault="00A9019E">
      <w:pPr>
        <w:ind w:left="142"/>
        <w:jc w:val="both"/>
        <w:rPr>
          <w:b/>
          <w:sz w:val="22"/>
          <w:u w:val="single"/>
        </w:rPr>
      </w:pPr>
    </w:p>
    <w:p w14:paraId="5372AED2" w14:textId="77777777" w:rsidR="00A9019E" w:rsidRDefault="00A9019E">
      <w:pPr>
        <w:pStyle w:val="Textkrper-Einzug2"/>
        <w:ind w:left="142" w:right="-199" w:firstLine="0"/>
        <w:rPr>
          <w:rFonts w:ascii="Arial" w:hAnsi="Arial"/>
          <w:sz w:val="22"/>
        </w:rPr>
      </w:pPr>
      <w:r>
        <w:rPr>
          <w:rFonts w:ascii="Arial" w:hAnsi="Arial"/>
          <w:sz w:val="22"/>
        </w:rPr>
        <w:t>[1] Verein Deutscher Ingenieure</w:t>
      </w:r>
      <w:r>
        <w:rPr>
          <w:rFonts w:ascii="Arial" w:hAnsi="Arial"/>
          <w:sz w:val="22"/>
        </w:rPr>
        <w:tab/>
        <w:t>VDI 2263  Blatt 5.1 – Februar 2004: Staubbrände und Staubexplosionen</w:t>
      </w:r>
    </w:p>
    <w:p w14:paraId="5372AED3" w14:textId="77777777" w:rsidR="00A9019E" w:rsidRDefault="00A9019E">
      <w:pPr>
        <w:pStyle w:val="Textkrper-Einzug2"/>
        <w:ind w:left="3540" w:right="-199" w:firstLine="0"/>
        <w:jc w:val="left"/>
        <w:rPr>
          <w:rFonts w:ascii="Arial" w:hAnsi="Arial"/>
          <w:sz w:val="22"/>
        </w:rPr>
      </w:pPr>
      <w:r>
        <w:rPr>
          <w:rFonts w:ascii="Arial" w:hAnsi="Arial"/>
          <w:sz w:val="22"/>
        </w:rPr>
        <w:lastRenderedPageBreak/>
        <w:t>Gefahren-Beurteilung-Schutzmaßnahmen,</w:t>
      </w:r>
    </w:p>
    <w:p w14:paraId="5372AED4" w14:textId="77777777" w:rsidR="00A9019E" w:rsidRDefault="00A9019E">
      <w:pPr>
        <w:pStyle w:val="Textkrper-Einzug2"/>
        <w:ind w:left="3540" w:right="-199" w:firstLine="0"/>
        <w:jc w:val="left"/>
        <w:rPr>
          <w:rFonts w:ascii="Arial" w:hAnsi="Arial"/>
          <w:sz w:val="22"/>
        </w:rPr>
      </w:pPr>
      <w:r>
        <w:rPr>
          <w:rFonts w:ascii="Arial" w:hAnsi="Arial"/>
          <w:sz w:val="22"/>
        </w:rPr>
        <w:t>Explosionsschutz bei Wirbelschichtanlagen, Hinweise und Ausführungs-beispiele für Hersteller und Betreiber</w:t>
      </w:r>
    </w:p>
    <w:p w14:paraId="5372AED5" w14:textId="77777777" w:rsidR="00A9019E" w:rsidRDefault="00A9019E">
      <w:pPr>
        <w:pStyle w:val="Textkrper-Einzug2"/>
        <w:ind w:left="3540" w:right="-199" w:firstLine="0"/>
        <w:jc w:val="left"/>
        <w:rPr>
          <w:rFonts w:ascii="Arial" w:hAnsi="Arial"/>
          <w:sz w:val="22"/>
        </w:rPr>
      </w:pPr>
      <w:r>
        <w:rPr>
          <w:rFonts w:ascii="Arial" w:hAnsi="Arial"/>
          <w:sz w:val="22"/>
        </w:rPr>
        <w:t>Beuth Verlag, Berlin</w:t>
      </w:r>
    </w:p>
    <w:p w14:paraId="5372AED6" w14:textId="77777777" w:rsidR="00A9019E" w:rsidRDefault="00A9019E">
      <w:pPr>
        <w:pStyle w:val="Textkrper-Einzug2"/>
        <w:ind w:left="3540" w:right="-199" w:firstLine="0"/>
        <w:jc w:val="left"/>
        <w:rPr>
          <w:rFonts w:ascii="Arial" w:hAnsi="Arial"/>
          <w:sz w:val="22"/>
        </w:rPr>
      </w:pPr>
    </w:p>
    <w:p w14:paraId="5372AED7" w14:textId="77777777" w:rsidR="00A9019E" w:rsidRDefault="00A9019E">
      <w:pPr>
        <w:pStyle w:val="Textkrper-Zeileneinzug"/>
        <w:ind w:left="142" w:firstLine="0"/>
      </w:pPr>
      <w:r>
        <w:t>[2] Kremers; Becker; Detering;</w:t>
      </w:r>
      <w:r>
        <w:tab/>
        <w:t>Ermittlung der Ursachen von Bränden und Explosionen in Mitglieds-</w:t>
      </w:r>
    </w:p>
    <w:p w14:paraId="5372AED8" w14:textId="77777777" w:rsidR="00A9019E" w:rsidRDefault="00A9019E">
      <w:pPr>
        <w:pStyle w:val="Textkrper-Zeileneinzug"/>
        <w:ind w:left="142" w:firstLine="0"/>
      </w:pPr>
      <w:r>
        <w:t xml:space="preserve">     Rauch; Wolf                               betrieben der Holz-Berufsgenossenschaft </w:t>
      </w:r>
    </w:p>
    <w:p w14:paraId="5372AED9" w14:textId="77777777" w:rsidR="00A9019E" w:rsidRDefault="00A9019E">
      <w:pPr>
        <w:pStyle w:val="Textkrper-Zeileneinzug"/>
        <w:ind w:left="142" w:firstLine="0"/>
      </w:pPr>
      <w:r>
        <w:tab/>
      </w:r>
      <w:r>
        <w:tab/>
      </w:r>
      <w:r>
        <w:tab/>
      </w:r>
      <w:r>
        <w:tab/>
      </w:r>
      <w:r>
        <w:tab/>
        <w:t>Gefahrstoffe -Reinhaltung der Luft,  Nr. 9 / 2001</w:t>
      </w:r>
    </w:p>
    <w:p w14:paraId="5372AEDA" w14:textId="77777777" w:rsidR="00A9019E" w:rsidRDefault="00A9019E">
      <w:pPr>
        <w:pStyle w:val="Fuzeile"/>
        <w:rPr>
          <w:i/>
          <w:sz w:val="16"/>
        </w:rPr>
      </w:pPr>
      <w:r>
        <w:t>Hrsg. Springer Verlag.</w:t>
      </w:r>
    </w:p>
    <w:sectPr w:rsidR="00A9019E">
      <w:pgSz w:w="11907" w:h="16840" w:code="9"/>
      <w:pgMar w:top="568" w:right="425" w:bottom="426" w:left="7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A2039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A874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0C3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DC53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1A2A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8428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5E95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46D2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1A68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5AD2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740E3"/>
    <w:multiLevelType w:val="singleLevel"/>
    <w:tmpl w:val="86E0D50A"/>
    <w:lvl w:ilvl="0">
      <w:start w:val="888"/>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128E0A70"/>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12" w15:restartNumberingAfterBreak="0">
    <w:nsid w:val="18912B6D"/>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13" w15:restartNumberingAfterBreak="0">
    <w:nsid w:val="1AFF4CEE"/>
    <w:multiLevelType w:val="singleLevel"/>
    <w:tmpl w:val="F5406056"/>
    <w:lvl w:ilvl="0">
      <w:start w:val="2"/>
      <w:numFmt w:val="decimal"/>
      <w:lvlText w:val="(%1)"/>
      <w:lvlJc w:val="left"/>
      <w:pPr>
        <w:tabs>
          <w:tab w:val="num" w:pos="570"/>
        </w:tabs>
        <w:ind w:left="570" w:hanging="570"/>
      </w:pPr>
      <w:rPr>
        <w:rFonts w:hint="default"/>
      </w:rPr>
    </w:lvl>
  </w:abstractNum>
  <w:abstractNum w:abstractNumId="14" w15:restartNumberingAfterBreak="0">
    <w:nsid w:val="1F7A3DFA"/>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15" w15:restartNumberingAfterBreak="0">
    <w:nsid w:val="253C34E3"/>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16" w15:restartNumberingAfterBreak="0">
    <w:nsid w:val="267B645A"/>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17" w15:restartNumberingAfterBreak="0">
    <w:nsid w:val="28F90876"/>
    <w:multiLevelType w:val="singleLevel"/>
    <w:tmpl w:val="6FE63878"/>
    <w:lvl w:ilvl="0">
      <w:start w:val="2"/>
      <w:numFmt w:val="bullet"/>
      <w:lvlText w:val="-"/>
      <w:lvlJc w:val="left"/>
      <w:pPr>
        <w:tabs>
          <w:tab w:val="num" w:pos="3195"/>
        </w:tabs>
        <w:ind w:left="3195" w:hanging="360"/>
      </w:pPr>
      <w:rPr>
        <w:rFonts w:ascii="Times New Roman" w:hAnsi="Times New Roman" w:hint="default"/>
      </w:rPr>
    </w:lvl>
  </w:abstractNum>
  <w:abstractNum w:abstractNumId="18" w15:restartNumberingAfterBreak="0">
    <w:nsid w:val="362C7B38"/>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19" w15:restartNumberingAfterBreak="0">
    <w:nsid w:val="395B0A7D"/>
    <w:multiLevelType w:val="singleLevel"/>
    <w:tmpl w:val="39B677F2"/>
    <w:lvl w:ilvl="0">
      <w:start w:val="1"/>
      <w:numFmt w:val="bullet"/>
      <w:lvlText w:val=""/>
      <w:lvlJc w:val="left"/>
      <w:pPr>
        <w:tabs>
          <w:tab w:val="num" w:pos="425"/>
        </w:tabs>
        <w:ind w:left="425" w:hanging="425"/>
      </w:pPr>
      <w:rPr>
        <w:rFonts w:ascii="Wingdings" w:hAnsi="Wingdings" w:hint="default"/>
      </w:rPr>
    </w:lvl>
  </w:abstractNum>
  <w:abstractNum w:abstractNumId="20" w15:restartNumberingAfterBreak="0">
    <w:nsid w:val="4A3C1C8B"/>
    <w:multiLevelType w:val="singleLevel"/>
    <w:tmpl w:val="6C78AF04"/>
    <w:lvl w:ilvl="0">
      <w:start w:val="17"/>
      <w:numFmt w:val="decimal"/>
      <w:lvlText w:val="(%1)"/>
      <w:lvlJc w:val="left"/>
      <w:pPr>
        <w:tabs>
          <w:tab w:val="num" w:pos="570"/>
        </w:tabs>
        <w:ind w:left="570" w:hanging="570"/>
      </w:pPr>
      <w:rPr>
        <w:rFonts w:hint="default"/>
      </w:rPr>
    </w:lvl>
  </w:abstractNum>
  <w:abstractNum w:abstractNumId="21" w15:restartNumberingAfterBreak="0">
    <w:nsid w:val="4F3F56FF"/>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22" w15:restartNumberingAfterBreak="0">
    <w:nsid w:val="55AC7E8B"/>
    <w:multiLevelType w:val="singleLevel"/>
    <w:tmpl w:val="E32A5BD6"/>
    <w:lvl w:ilvl="0">
      <w:start w:val="1"/>
      <w:numFmt w:val="decimal"/>
      <w:lvlText w:val="(%1)"/>
      <w:lvlJc w:val="left"/>
      <w:pPr>
        <w:tabs>
          <w:tab w:val="num" w:pos="570"/>
        </w:tabs>
        <w:ind w:left="570" w:hanging="570"/>
      </w:pPr>
      <w:rPr>
        <w:rFonts w:hint="default"/>
      </w:rPr>
    </w:lvl>
  </w:abstractNum>
  <w:abstractNum w:abstractNumId="23" w15:restartNumberingAfterBreak="0">
    <w:nsid w:val="58CA7415"/>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24" w15:restartNumberingAfterBreak="0">
    <w:nsid w:val="59A965B1"/>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25" w15:restartNumberingAfterBreak="0">
    <w:nsid w:val="69702F60"/>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26" w15:restartNumberingAfterBreak="0">
    <w:nsid w:val="6BE44FBC"/>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27" w15:restartNumberingAfterBreak="0">
    <w:nsid w:val="760459AD"/>
    <w:multiLevelType w:val="singleLevel"/>
    <w:tmpl w:val="278C8CAA"/>
    <w:lvl w:ilvl="0">
      <w:start w:val="12"/>
      <w:numFmt w:val="decimal"/>
      <w:lvlText w:val="(%1)"/>
      <w:lvlJc w:val="left"/>
      <w:pPr>
        <w:tabs>
          <w:tab w:val="num" w:pos="570"/>
        </w:tabs>
        <w:ind w:left="570" w:hanging="570"/>
      </w:pPr>
      <w:rPr>
        <w:rFonts w:hint="default"/>
      </w:rPr>
    </w:lvl>
  </w:abstractNum>
  <w:abstractNum w:abstractNumId="28" w15:restartNumberingAfterBreak="0">
    <w:nsid w:val="78756DFD"/>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29" w15:restartNumberingAfterBreak="0">
    <w:nsid w:val="7FBB754E"/>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num w:numId="1">
    <w:abstractNumId w:val="10"/>
  </w:num>
  <w:num w:numId="2">
    <w:abstractNumId w:val="19"/>
  </w:num>
  <w:num w:numId="3">
    <w:abstractNumId w:val="13"/>
  </w:num>
  <w:num w:numId="4">
    <w:abstractNumId w:val="17"/>
  </w:num>
  <w:num w:numId="5">
    <w:abstractNumId w:val="15"/>
  </w:num>
  <w:num w:numId="6">
    <w:abstractNumId w:val="12"/>
  </w:num>
  <w:num w:numId="7">
    <w:abstractNumId w:val="29"/>
  </w:num>
  <w:num w:numId="8">
    <w:abstractNumId w:val="25"/>
  </w:num>
  <w:num w:numId="9">
    <w:abstractNumId w:val="14"/>
  </w:num>
  <w:num w:numId="10">
    <w:abstractNumId w:val="23"/>
  </w:num>
  <w:num w:numId="11">
    <w:abstractNumId w:val="27"/>
  </w:num>
  <w:num w:numId="12">
    <w:abstractNumId w:val="16"/>
  </w:num>
  <w:num w:numId="13">
    <w:abstractNumId w:val="11"/>
  </w:num>
  <w:num w:numId="14">
    <w:abstractNumId w:val="28"/>
  </w:num>
  <w:num w:numId="15">
    <w:abstractNumId w:val="26"/>
  </w:num>
  <w:num w:numId="16">
    <w:abstractNumId w:val="22"/>
  </w:num>
  <w:num w:numId="17">
    <w:abstractNumId w:val="20"/>
  </w:num>
  <w:num w:numId="18">
    <w:abstractNumId w:val="21"/>
  </w:num>
  <w:num w:numId="19">
    <w:abstractNumId w:val="18"/>
  </w:num>
  <w:num w:numId="20">
    <w:abstractNumId w:val="2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0256"/>
    <w:rsid w:val="00033D2A"/>
    <w:rsid w:val="000379C5"/>
    <w:rsid w:val="00081025"/>
    <w:rsid w:val="00082BA7"/>
    <w:rsid w:val="00086CD4"/>
    <w:rsid w:val="002415F0"/>
    <w:rsid w:val="00313662"/>
    <w:rsid w:val="00330256"/>
    <w:rsid w:val="00444254"/>
    <w:rsid w:val="00446886"/>
    <w:rsid w:val="0046353B"/>
    <w:rsid w:val="0049191F"/>
    <w:rsid w:val="004A08B8"/>
    <w:rsid w:val="004C3F0C"/>
    <w:rsid w:val="004F2D93"/>
    <w:rsid w:val="005201E1"/>
    <w:rsid w:val="00523F5F"/>
    <w:rsid w:val="00720E79"/>
    <w:rsid w:val="007622C6"/>
    <w:rsid w:val="00796E6F"/>
    <w:rsid w:val="007D49BE"/>
    <w:rsid w:val="008B08F1"/>
    <w:rsid w:val="009A1F42"/>
    <w:rsid w:val="009B6FBF"/>
    <w:rsid w:val="00A9019E"/>
    <w:rsid w:val="00AB32D4"/>
    <w:rsid w:val="00AC1CDB"/>
    <w:rsid w:val="00C15C0C"/>
    <w:rsid w:val="00C404C8"/>
    <w:rsid w:val="00D765FF"/>
    <w:rsid w:val="00E11076"/>
    <w:rsid w:val="00E42E92"/>
    <w:rsid w:val="00EE2E5B"/>
    <w:rsid w:val="00F14958"/>
    <w:rsid w:val="00F61FB7"/>
    <w:rsid w:val="00FC6A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5372AEA1"/>
  <w15:chartTrackingRefBased/>
  <w15:docId w15:val="{2E535E4B-33F6-4CF8-8F59-4BB0436A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spacing w:before="60"/>
      <w:jc w:val="center"/>
      <w:outlineLvl w:val="0"/>
    </w:pPr>
    <w:rPr>
      <w:rFonts w:ascii="Arial" w:hAnsi="Arial"/>
      <w:b/>
      <w:sz w:val="22"/>
    </w:rPr>
  </w:style>
  <w:style w:type="paragraph" w:styleId="berschrift2">
    <w:name w:val="heading 2"/>
    <w:basedOn w:val="Standard"/>
    <w:next w:val="Standard"/>
    <w:qFormat/>
    <w:pPr>
      <w:keepNext/>
      <w:jc w:val="center"/>
      <w:outlineLvl w:val="1"/>
    </w:pPr>
    <w:rPr>
      <w:rFonts w:ascii="Arial" w:hAnsi="Arial"/>
      <w:b/>
      <w:sz w:val="28"/>
    </w:rPr>
  </w:style>
  <w:style w:type="paragraph" w:styleId="berschrift3">
    <w:name w:val="heading 3"/>
    <w:basedOn w:val="Standard"/>
    <w:next w:val="Standard"/>
    <w:qFormat/>
    <w:pPr>
      <w:keepNext/>
      <w:pBdr>
        <w:top w:val="single" w:sz="4" w:space="1" w:color="auto" w:shadow="1"/>
        <w:left w:val="single" w:sz="4" w:space="0" w:color="auto" w:shadow="1"/>
        <w:bottom w:val="single" w:sz="4" w:space="1" w:color="auto" w:shadow="1"/>
        <w:right w:val="single" w:sz="4" w:space="4" w:color="auto" w:shadow="1"/>
      </w:pBdr>
      <w:shd w:val="pct10" w:color="auto" w:fill="FFFFFF"/>
      <w:jc w:val="center"/>
      <w:outlineLvl w:val="2"/>
    </w:pPr>
    <w:rPr>
      <w:rFonts w:ascii="Arial" w:hAnsi="Arial"/>
      <w:b/>
      <w:sz w:val="24"/>
    </w:rPr>
  </w:style>
  <w:style w:type="paragraph" w:styleId="berschrift4">
    <w:name w:val="heading 4"/>
    <w:basedOn w:val="Standard"/>
    <w:next w:val="Standard"/>
    <w:qFormat/>
    <w:pPr>
      <w:keepNext/>
      <w:spacing w:before="60"/>
      <w:ind w:left="142"/>
      <w:outlineLvl w:val="3"/>
    </w:pPr>
    <w:rPr>
      <w:rFonts w:ascii="Arial" w:hAnsi="Arial"/>
      <w:b/>
    </w:rPr>
  </w:style>
  <w:style w:type="paragraph" w:styleId="berschrift5">
    <w:name w:val="heading 5"/>
    <w:basedOn w:val="Standard"/>
    <w:next w:val="Standard"/>
    <w:qFormat/>
    <w:pPr>
      <w:keepNext/>
      <w:spacing w:before="60"/>
      <w:outlineLvl w:val="4"/>
    </w:pPr>
    <w:rPr>
      <w:rFonts w:ascii="Arial" w:hAnsi="Arial"/>
      <w:b/>
    </w:rPr>
  </w:style>
  <w:style w:type="paragraph" w:styleId="berschrift6">
    <w:name w:val="heading 6"/>
    <w:basedOn w:val="Standard"/>
    <w:next w:val="Standard"/>
    <w:qFormat/>
    <w:pPr>
      <w:keepNext/>
      <w:outlineLvl w:val="5"/>
    </w:pPr>
    <w:rPr>
      <w:rFonts w:ascii="Arial" w:hAnsi="Arial"/>
      <w:b/>
      <w:i/>
      <w:sz w:val="24"/>
    </w:rPr>
  </w:style>
  <w:style w:type="paragraph" w:styleId="berschrift7">
    <w:name w:val="heading 7"/>
    <w:basedOn w:val="Standard"/>
    <w:next w:val="Standard"/>
    <w:qFormat/>
    <w:pPr>
      <w:keepNext/>
      <w:spacing w:before="180" w:after="180"/>
      <w:ind w:right="58"/>
      <w:outlineLvl w:val="6"/>
    </w:pPr>
    <w:rPr>
      <w:rFonts w:ascii="Arial" w:hAnsi="Arial"/>
      <w:b/>
      <w:sz w:val="24"/>
    </w:rPr>
  </w:style>
  <w:style w:type="paragraph" w:styleId="berschrift8">
    <w:name w:val="heading 8"/>
    <w:basedOn w:val="Standard"/>
    <w:next w:val="Standard"/>
    <w:qFormat/>
    <w:pPr>
      <w:keepNext/>
      <w:spacing w:before="60"/>
      <w:jc w:val="center"/>
      <w:outlineLvl w:val="7"/>
    </w:pPr>
    <w:rPr>
      <w:rFonts w:ascii="Arial" w:hAnsi="Arial"/>
      <w:b/>
    </w:rPr>
  </w:style>
  <w:style w:type="paragraph" w:styleId="berschrift9">
    <w:name w:val="heading 9"/>
    <w:basedOn w:val="Standard"/>
    <w:next w:val="Standard"/>
    <w:qFormat/>
    <w:pPr>
      <w:keepNext/>
      <w:spacing w:before="20"/>
      <w:outlineLvl w:val="8"/>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pPr>
      <w:spacing w:before="60" w:after="60"/>
    </w:pPr>
    <w:rPr>
      <w:rFonts w:ascii="Arial" w:hAnsi="Arial"/>
      <w:b/>
      <w:sz w:val="22"/>
    </w:rPr>
  </w:style>
  <w:style w:type="paragraph" w:styleId="Textkrper-Einzug2">
    <w:name w:val="Body Text Indent 2"/>
    <w:basedOn w:val="Standard"/>
    <w:pPr>
      <w:ind w:left="567" w:hanging="425"/>
      <w:jc w:val="both"/>
    </w:pPr>
    <w:rPr>
      <w:sz w:val="24"/>
    </w:rPr>
  </w:style>
  <w:style w:type="paragraph" w:styleId="Textkrper-Zeileneinzug">
    <w:name w:val="Body Text Indent"/>
    <w:basedOn w:val="Standard"/>
    <w:pPr>
      <w:ind w:left="3544" w:hanging="3544"/>
      <w:jc w:val="both"/>
    </w:pPr>
    <w:rPr>
      <w:rFonts w:ascii="Arial" w:hAnsi="Arial"/>
      <w:sz w:val="22"/>
    </w:rPr>
  </w:style>
  <w:style w:type="paragraph" w:styleId="Blocktext">
    <w:name w:val="Block Text"/>
    <w:basedOn w:val="Standard"/>
    <w:pPr>
      <w:tabs>
        <w:tab w:val="left" w:pos="567"/>
      </w:tabs>
      <w:ind w:left="142" w:right="85"/>
      <w:jc w:val="both"/>
    </w:pPr>
  </w:style>
  <w:style w:type="paragraph" w:styleId="Kopfzeile">
    <w:name w:val="header"/>
    <w:basedOn w:val="Standard"/>
    <w:pPr>
      <w:tabs>
        <w:tab w:val="center" w:pos="4536"/>
        <w:tab w:val="right" w:pos="9072"/>
      </w:tabs>
    </w:pPr>
    <w:rPr>
      <w:rFonts w:ascii="Arial" w:hAnsi="Arial"/>
      <w:sz w:val="22"/>
    </w:rPr>
  </w:style>
  <w:style w:type="paragraph" w:styleId="Textkrper">
    <w:name w:val="Body Text"/>
    <w:basedOn w:val="Standard"/>
    <w:pPr>
      <w:spacing w:before="60"/>
    </w:pPr>
    <w:rPr>
      <w:rFonts w:ascii="Arial" w:hAnsi="Arial"/>
      <w:b/>
      <w:sz w:val="16"/>
    </w:rPr>
  </w:style>
  <w:style w:type="paragraph" w:styleId="Textkrper2">
    <w:name w:val="Body Text 2"/>
    <w:basedOn w:val="Standard"/>
    <w:pPr>
      <w:spacing w:before="60"/>
      <w:jc w:val="center"/>
    </w:pPr>
    <w:rPr>
      <w:rFonts w:ascii="Arial" w:hAnsi="Arial"/>
      <w:b/>
    </w:rPr>
  </w:style>
  <w:style w:type="paragraph" w:styleId="Textkrper-Einzug3">
    <w:name w:val="Body Text Indent 3"/>
    <w:basedOn w:val="Standard"/>
    <w:pPr>
      <w:tabs>
        <w:tab w:val="left" w:pos="2835"/>
        <w:tab w:val="left" w:pos="6946"/>
      </w:tabs>
      <w:spacing w:before="60"/>
      <w:ind w:left="567"/>
      <w:jc w:val="both"/>
    </w:pPr>
    <w:rPr>
      <w:rFonts w:ascii="Arial" w:hAnsi="Arial"/>
      <w:sz w:val="22"/>
    </w:rPr>
  </w:style>
  <w:style w:type="paragraph" w:styleId="Fuzeile">
    <w:name w:val="footer"/>
    <w:basedOn w:val="Standard"/>
    <w:pPr>
      <w:tabs>
        <w:tab w:val="center" w:pos="4536"/>
        <w:tab w:val="right" w:pos="9072"/>
      </w:tabs>
    </w:pPr>
    <w:rPr>
      <w:rFonts w:ascii="Arial" w:hAnsi="Arial"/>
      <w:sz w:val="22"/>
    </w:rPr>
  </w:style>
  <w:style w:type="paragraph" w:styleId="Sprechblasentext">
    <w:name w:val="Balloon Text"/>
    <w:basedOn w:val="Standard"/>
    <w:link w:val="SprechblasentextZchn"/>
    <w:rsid w:val="00AB32D4"/>
    <w:rPr>
      <w:rFonts w:ascii="Segoe UI" w:hAnsi="Segoe UI" w:cs="Segoe UI"/>
      <w:sz w:val="18"/>
      <w:szCs w:val="18"/>
    </w:rPr>
  </w:style>
  <w:style w:type="character" w:customStyle="1" w:styleId="SprechblasentextZchn">
    <w:name w:val="Sprechblasentext Zchn"/>
    <w:link w:val="Sprechblasentext"/>
    <w:rsid w:val="00AB32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f2a10dc8-fee4-4038-85f9-286aaff4a39f">YV5TTPPR65E6-467-344</_dlc_DocId>
    <_dlc_DocIdUrl xmlns="f2a10dc8-fee4-4038-85f9-286aaff4a39f">
      <Url>http://arbeitsbereiche.bghm.de/organisation/HSG/ABHM3/SGOTS/_layouts/15/DocIdRedir.aspx?ID=YV5TTPPR65E6-467-344</Url>
      <Description>YV5TTPPR65E6-467-344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CA93EE67A3A8A45B45ADBAECE58E2F0" ma:contentTypeVersion="0" ma:contentTypeDescription="Ein neues Dokument erstellen." ma:contentTypeScope="" ma:versionID="d11f3ff4abd19695596f67e40f7cbed6">
  <xsd:schema xmlns:xsd="http://www.w3.org/2001/XMLSchema" xmlns:xs="http://www.w3.org/2001/XMLSchema" xmlns:p="http://schemas.microsoft.com/office/2006/metadata/properties" xmlns:ns2="f2a10dc8-fee4-4038-85f9-286aaff4a39f" targetNamespace="http://schemas.microsoft.com/office/2006/metadata/properties" ma:root="true" ma:fieldsID="643adc76cbc6f584f3f930a9a3859771" ns2:_="">
    <xsd:import namespace="f2a10dc8-fee4-4038-85f9-286aaff4a39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10dc8-fee4-4038-85f9-286aaff4a39f"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D0BC2-C003-46C1-BD86-4DD7A16475DE}">
  <ds:schemaRefs>
    <ds:schemaRef ds:uri="http://schemas.microsoft.com/sharepoint/events"/>
  </ds:schemaRefs>
</ds:datastoreItem>
</file>

<file path=customXml/itemProps2.xml><?xml version="1.0" encoding="utf-8"?>
<ds:datastoreItem xmlns:ds="http://schemas.openxmlformats.org/officeDocument/2006/customXml" ds:itemID="{8D7E4CDD-2082-43FE-B5F6-E015904F6FF3}">
  <ds:schemaRefs>
    <ds:schemaRef ds:uri="http://purl.org/dc/dcmitype/"/>
    <ds:schemaRef ds:uri="http://schemas.microsoft.com/office/infopath/2007/PartnerControls"/>
    <ds:schemaRef ds:uri="f2a10dc8-fee4-4038-85f9-286aaff4a39f"/>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B5759A3-5788-4450-9432-DB5E89DE118D}">
  <ds:schemaRefs>
    <ds:schemaRef ds:uri="http://schemas.microsoft.com/sharepoint/v3/contenttype/forms"/>
  </ds:schemaRefs>
</ds:datastoreItem>
</file>

<file path=customXml/itemProps4.xml><?xml version="1.0" encoding="utf-8"?>
<ds:datastoreItem xmlns:ds="http://schemas.openxmlformats.org/officeDocument/2006/customXml" ds:itemID="{743AA57A-B56E-4C76-9DB7-A193B43A9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10dc8-fee4-4038-85f9-286aaff4a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0543F79-2135-4913-BA3F-1429A3A7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683</Words>
  <Characters>4309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Holz-Berufsgenossenschaft</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Kremers</dc:creator>
  <cp:keywords/>
  <cp:lastModifiedBy>Giesemann, Marion, BGHM</cp:lastModifiedBy>
  <cp:revision>4</cp:revision>
  <cp:lastPrinted>2006-02-13T10:20:00Z</cp:lastPrinted>
  <dcterms:created xsi:type="dcterms:W3CDTF">2016-02-02T18:08:00Z</dcterms:created>
  <dcterms:modified xsi:type="dcterms:W3CDTF">2016-04-22T11:35:00Z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893005ce-5e16-41e5-9bec-c4856b737ba2</vt:lpwstr>
  </property>
  <property fmtid="{D5CDD505-2E9C-101B-9397-08002B2CF9AE}" pid="3" name="ContentTypeId">
    <vt:lpwstr>0x010100ECA93EE67A3A8A45B45ADBAECE58E2F0</vt:lpwstr>
  </property>
</Properties>
</file>